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184B" w14:textId="77777777" w:rsidR="00055485" w:rsidRDefault="00055485">
      <w:pPr>
        <w:rPr>
          <w:bCs/>
        </w:rPr>
      </w:pPr>
    </w:p>
    <w:p w14:paraId="65B2C9C3" w14:textId="0BAFE7AB" w:rsidR="00BF25DA" w:rsidRDefault="00BF25DA" w:rsidP="00BC5964"/>
    <w:p w14:paraId="765731EE" w14:textId="77777777" w:rsidR="002D012D" w:rsidRDefault="002D012D" w:rsidP="00BC5964"/>
    <w:tbl>
      <w:tblPr>
        <w:tblW w:w="99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200"/>
      </w:tblGrid>
      <w:tr w:rsidR="00BF25DA" w:rsidRPr="00BF25DA" w14:paraId="516C38A2" w14:textId="77777777" w:rsidTr="00204900">
        <w:tc>
          <w:tcPr>
            <w:tcW w:w="2700" w:type="dxa"/>
          </w:tcPr>
          <w:p w14:paraId="16F339D9" w14:textId="77777777" w:rsidR="00BF25DA" w:rsidRPr="00BF25DA" w:rsidRDefault="00825462" w:rsidP="00BF25DA">
            <w:pPr>
              <w:spacing w:line="240" w:lineRule="auto"/>
              <w:jc w:val="center"/>
              <w:rPr>
                <w:rFonts w:ascii="Comic Sans MS" w:eastAsia="Times New Roman" w:hAnsi="Comic Sans MS"/>
                <w:snapToGrid w:val="0"/>
                <w:sz w:val="4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7728" behindDoc="0" locked="0" layoutInCell="1" allowOverlap="1" wp14:anchorId="1DAE03B6" wp14:editId="37D12ECA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-191770</wp:posOffset>
                  </wp:positionV>
                  <wp:extent cx="1485900" cy="894715"/>
                  <wp:effectExtent l="0" t="0" r="0" b="635"/>
                  <wp:wrapNone/>
                  <wp:docPr id="4" name="Afbeelding 4" descr="Kerkje_wink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erkje_wink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</w:tcPr>
          <w:p w14:paraId="0BFF04EA" w14:textId="03A0D93B" w:rsidR="00BF25DA" w:rsidRPr="00BF25DA" w:rsidRDefault="00BF25DA" w:rsidP="00BF25DA">
            <w:pPr>
              <w:spacing w:line="240" w:lineRule="auto"/>
              <w:rPr>
                <w:rFonts w:ascii="Comic Sans MS" w:eastAsia="Times New Roman" w:hAnsi="Comic Sans MS"/>
                <w:snapToGrid w:val="0"/>
                <w:sz w:val="40"/>
                <w:szCs w:val="20"/>
                <w:lang w:eastAsia="nl-NL"/>
              </w:rPr>
            </w:pPr>
            <w:r w:rsidRPr="00BF25DA">
              <w:rPr>
                <w:rFonts w:ascii="Comic Sans MS" w:eastAsia="Times New Roman" w:hAnsi="Comic Sans MS"/>
                <w:snapToGrid w:val="0"/>
                <w:sz w:val="40"/>
                <w:szCs w:val="20"/>
                <w:lang w:eastAsia="nl-NL"/>
              </w:rPr>
              <w:tab/>
            </w:r>
          </w:p>
        </w:tc>
      </w:tr>
      <w:tr w:rsidR="00BF25DA" w:rsidRPr="00BF25DA" w14:paraId="5E37D66D" w14:textId="77777777" w:rsidTr="00204900">
        <w:tc>
          <w:tcPr>
            <w:tcW w:w="2700" w:type="dxa"/>
            <w:tcBorders>
              <w:bottom w:val="single" w:sz="4" w:space="0" w:color="auto"/>
            </w:tcBorders>
          </w:tcPr>
          <w:p w14:paraId="3FC57E76" w14:textId="77777777" w:rsidR="00BF25DA" w:rsidRPr="00BF25DA" w:rsidRDefault="00BF25DA" w:rsidP="00BF25DA">
            <w:pPr>
              <w:spacing w:line="240" w:lineRule="auto"/>
              <w:jc w:val="center"/>
              <w:rPr>
                <w:rFonts w:ascii="Comic Sans MS" w:eastAsia="Times New Roman" w:hAnsi="Comic Sans MS"/>
                <w:snapToGrid w:val="0"/>
                <w:sz w:val="40"/>
                <w:szCs w:val="20"/>
                <w:lang w:eastAsia="nl-NL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16914604" w14:textId="63FD6E2A" w:rsidR="00BF25DA" w:rsidRPr="00BF25DA" w:rsidRDefault="00BF25DA" w:rsidP="00BF25DA">
            <w:pPr>
              <w:spacing w:line="240" w:lineRule="auto"/>
              <w:ind w:left="1766"/>
              <w:rPr>
                <w:rFonts w:ascii="Comic Sans MS" w:eastAsia="Times New Roman" w:hAnsi="Comic Sans MS"/>
                <w:snapToGrid w:val="0"/>
                <w:sz w:val="20"/>
                <w:szCs w:val="20"/>
                <w:lang w:eastAsia="nl-NL"/>
              </w:rPr>
            </w:pPr>
            <w:r w:rsidRPr="00BF25DA">
              <w:rPr>
                <w:rFonts w:ascii="Comic Sans MS" w:eastAsia="Times New Roman" w:hAnsi="Comic Sans MS"/>
                <w:snapToGrid w:val="0"/>
                <w:sz w:val="40"/>
                <w:szCs w:val="20"/>
                <w:lang w:eastAsia="nl-NL"/>
              </w:rPr>
              <w:t>Culturele Stichting Niedorp</w:t>
            </w:r>
          </w:p>
        </w:tc>
      </w:tr>
    </w:tbl>
    <w:p w14:paraId="51BE638A" w14:textId="7CB3ED0F" w:rsidR="00976E01" w:rsidRPr="00E929F1" w:rsidRDefault="00976E01" w:rsidP="00976E01">
      <w:pPr>
        <w:spacing w:line="240" w:lineRule="auto"/>
        <w:ind w:right="-851"/>
        <w:jc w:val="right"/>
        <w:rPr>
          <w:rFonts w:ascii="Verdana" w:eastAsia="Times New Roman" w:hAnsi="Verdana"/>
          <w:snapToGrid w:val="0"/>
          <w:sz w:val="8"/>
          <w:szCs w:val="8"/>
          <w:lang w:eastAsia="nl-NL"/>
        </w:rPr>
      </w:pPr>
    </w:p>
    <w:p w14:paraId="1F29FEAC" w14:textId="43375466" w:rsidR="00BF25DA" w:rsidRPr="002E7961" w:rsidRDefault="00B329B1" w:rsidP="002E7961">
      <w:pPr>
        <w:spacing w:line="240" w:lineRule="auto"/>
        <w:ind w:right="-567"/>
        <w:jc w:val="right"/>
        <w:rPr>
          <w:rFonts w:ascii="Comic Sans MS" w:eastAsia="Times New Roman" w:hAnsi="Comic Sans MS"/>
          <w:snapToGrid w:val="0"/>
          <w:sz w:val="20"/>
          <w:szCs w:val="20"/>
          <w:lang w:eastAsia="nl-NL"/>
        </w:rPr>
      </w:pPr>
      <w:r>
        <w:rPr>
          <w:rFonts w:ascii="Comic Sans MS" w:eastAsia="Times New Roman" w:hAnsi="Comic Sans MS"/>
          <w:snapToGrid w:val="0"/>
          <w:sz w:val="20"/>
          <w:szCs w:val="20"/>
          <w:lang w:eastAsia="nl-NL"/>
        </w:rPr>
        <w:t>Januari 2024</w:t>
      </w:r>
    </w:p>
    <w:p w14:paraId="291BD59E" w14:textId="47AFE82C" w:rsidR="00BF25DA" w:rsidRPr="00BF25DA" w:rsidRDefault="00BF25DA" w:rsidP="00BF25DA">
      <w:pPr>
        <w:spacing w:line="240" w:lineRule="auto"/>
        <w:rPr>
          <w:rFonts w:ascii="Verdana" w:eastAsia="Times New Roman" w:hAnsi="Verdana"/>
          <w:sz w:val="21"/>
          <w:szCs w:val="21"/>
          <w:lang w:eastAsia="nl-NL"/>
        </w:rPr>
      </w:pPr>
    </w:p>
    <w:p w14:paraId="2BDECCAA" w14:textId="0D5A14DF" w:rsidR="00BF25DA" w:rsidRDefault="00BF25DA" w:rsidP="00BF25DA">
      <w:pPr>
        <w:spacing w:line="240" w:lineRule="auto"/>
        <w:rPr>
          <w:rFonts w:ascii="Verdana" w:eastAsia="Times New Roman" w:hAnsi="Verdana"/>
          <w:sz w:val="21"/>
          <w:szCs w:val="21"/>
          <w:lang w:eastAsia="nl-NL"/>
        </w:rPr>
      </w:pPr>
    </w:p>
    <w:p w14:paraId="4410E763" w14:textId="13C0F4FE" w:rsidR="002561D4" w:rsidRPr="00BF25DA" w:rsidRDefault="002561D4" w:rsidP="00BF25DA">
      <w:pPr>
        <w:spacing w:line="240" w:lineRule="auto"/>
        <w:rPr>
          <w:rFonts w:ascii="Verdana" w:eastAsia="Times New Roman" w:hAnsi="Verdana"/>
          <w:sz w:val="21"/>
          <w:szCs w:val="21"/>
          <w:lang w:eastAsia="nl-NL"/>
        </w:rPr>
      </w:pPr>
    </w:p>
    <w:p w14:paraId="1D5E6D6D" w14:textId="12BE7406" w:rsidR="00BF25DA" w:rsidRPr="00976E01" w:rsidRDefault="00BF25DA" w:rsidP="00BF25DA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  <w:r w:rsidRPr="00976E01">
        <w:rPr>
          <w:rFonts w:asciiTheme="minorHAnsi" w:eastAsia="Times New Roman" w:hAnsiTheme="minorHAnsi" w:cstheme="minorHAnsi"/>
          <w:sz w:val="24"/>
          <w:szCs w:val="24"/>
          <w:lang w:eastAsia="nl-NL"/>
        </w:rPr>
        <w:t>De Culturele Stichting Niedorp (</w:t>
      </w:r>
      <w:r w:rsidR="00D30036" w:rsidRPr="00976E01">
        <w:rPr>
          <w:rFonts w:asciiTheme="minorHAnsi" w:eastAsia="Times New Roman" w:hAnsiTheme="minorHAnsi" w:cstheme="minorHAnsi"/>
          <w:sz w:val="24"/>
          <w:szCs w:val="24"/>
          <w:lang w:eastAsia="nl-NL"/>
        </w:rPr>
        <w:t xml:space="preserve">hierna te noemen </w:t>
      </w:r>
      <w:r w:rsidRPr="00976E01">
        <w:rPr>
          <w:rFonts w:asciiTheme="minorHAnsi" w:eastAsia="Times New Roman" w:hAnsiTheme="minorHAnsi" w:cstheme="minorHAnsi"/>
          <w:sz w:val="24"/>
          <w:szCs w:val="24"/>
          <w:lang w:eastAsia="nl-NL"/>
        </w:rPr>
        <w:t xml:space="preserve">CSN) </w:t>
      </w:r>
      <w:r w:rsidR="007F344F">
        <w:rPr>
          <w:rFonts w:asciiTheme="minorHAnsi" w:eastAsia="Times New Roman" w:hAnsiTheme="minorHAnsi" w:cstheme="minorHAnsi"/>
          <w:sz w:val="24"/>
          <w:szCs w:val="24"/>
          <w:lang w:eastAsia="nl-NL"/>
        </w:rPr>
        <w:t xml:space="preserve">is opgericht in </w:t>
      </w:r>
      <w:r w:rsidR="0070620F">
        <w:rPr>
          <w:rFonts w:asciiTheme="minorHAnsi" w:eastAsia="Times New Roman" w:hAnsiTheme="minorHAnsi" w:cstheme="minorHAnsi"/>
          <w:sz w:val="24"/>
          <w:szCs w:val="24"/>
          <w:lang w:eastAsia="nl-NL"/>
        </w:rPr>
        <w:t xml:space="preserve">1987 </w:t>
      </w:r>
      <w:r w:rsidRPr="007952CB">
        <w:rPr>
          <w:rFonts w:asciiTheme="minorHAnsi" w:eastAsia="Times New Roman" w:hAnsiTheme="minorHAnsi" w:cstheme="minorHAnsi"/>
          <w:sz w:val="24"/>
          <w:szCs w:val="24"/>
          <w:lang w:eastAsia="nl-NL"/>
        </w:rPr>
        <w:t>jaar</w:t>
      </w:r>
      <w:r w:rsidRPr="00976E01">
        <w:rPr>
          <w:rFonts w:asciiTheme="minorHAnsi" w:eastAsia="Times New Roman" w:hAnsiTheme="minorHAnsi" w:cstheme="minorHAnsi"/>
          <w:sz w:val="24"/>
          <w:szCs w:val="24"/>
          <w:lang w:eastAsia="nl-NL"/>
        </w:rPr>
        <w:t xml:space="preserve"> en is statutair gevestigd te </w:t>
      </w:r>
      <w:r w:rsidR="000A25DC" w:rsidRPr="00976E01">
        <w:rPr>
          <w:rFonts w:asciiTheme="minorHAnsi" w:eastAsia="Times New Roman" w:hAnsiTheme="minorHAnsi" w:cstheme="minorHAnsi"/>
          <w:sz w:val="24"/>
          <w:szCs w:val="24"/>
          <w:lang w:eastAsia="nl-NL"/>
        </w:rPr>
        <w:t xml:space="preserve">Niedorp, thans </w:t>
      </w:r>
      <w:r w:rsidR="008B3DCE" w:rsidRPr="00976E01">
        <w:rPr>
          <w:rFonts w:asciiTheme="minorHAnsi" w:eastAsia="Times New Roman" w:hAnsiTheme="minorHAnsi" w:cstheme="minorHAnsi"/>
          <w:sz w:val="24"/>
          <w:szCs w:val="24"/>
          <w:lang w:eastAsia="nl-NL"/>
        </w:rPr>
        <w:t xml:space="preserve">gemeente </w:t>
      </w:r>
      <w:r w:rsidR="000A25DC" w:rsidRPr="00976E01">
        <w:rPr>
          <w:rFonts w:asciiTheme="minorHAnsi" w:eastAsia="Times New Roman" w:hAnsiTheme="minorHAnsi" w:cstheme="minorHAnsi"/>
          <w:sz w:val="24"/>
          <w:szCs w:val="24"/>
          <w:lang w:eastAsia="nl-NL"/>
        </w:rPr>
        <w:t>Hollands Kroon.</w:t>
      </w:r>
    </w:p>
    <w:p w14:paraId="4A98B601" w14:textId="77777777" w:rsidR="00BF25DA" w:rsidRPr="00976E01" w:rsidRDefault="00BF25DA" w:rsidP="00BF25DA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</w:p>
    <w:p w14:paraId="5F8B222C" w14:textId="77777777" w:rsidR="00BF25DA" w:rsidRPr="00976E01" w:rsidRDefault="00BF25DA" w:rsidP="00BF25DA">
      <w:pPr>
        <w:tabs>
          <w:tab w:val="left" w:pos="1843"/>
        </w:tabs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  <w:r w:rsidRPr="00976E01">
        <w:rPr>
          <w:rFonts w:asciiTheme="minorHAnsi" w:eastAsia="Times New Roman" w:hAnsiTheme="minorHAnsi" w:cstheme="minorHAnsi"/>
          <w:sz w:val="24"/>
          <w:szCs w:val="24"/>
          <w:lang w:eastAsia="nl-NL"/>
        </w:rPr>
        <w:t>Fiscaal nummer:</w:t>
      </w:r>
      <w:r w:rsidRPr="00976E01">
        <w:rPr>
          <w:rFonts w:asciiTheme="minorHAnsi" w:eastAsia="Times New Roman" w:hAnsiTheme="minorHAnsi" w:cstheme="minorHAnsi"/>
          <w:sz w:val="24"/>
          <w:szCs w:val="24"/>
          <w:lang w:eastAsia="nl-NL"/>
        </w:rPr>
        <w:tab/>
        <w:t>8160.58.945</w:t>
      </w:r>
    </w:p>
    <w:p w14:paraId="77AADBB5" w14:textId="66729A82" w:rsidR="00BF25DA" w:rsidRPr="00976E01" w:rsidRDefault="00BF25DA" w:rsidP="00BF25DA">
      <w:pPr>
        <w:tabs>
          <w:tab w:val="left" w:pos="1843"/>
        </w:tabs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  <w:r w:rsidRPr="00976E01">
        <w:rPr>
          <w:rFonts w:asciiTheme="minorHAnsi" w:eastAsia="Times New Roman" w:hAnsiTheme="minorHAnsi" w:cstheme="minorHAnsi"/>
          <w:sz w:val="24"/>
          <w:szCs w:val="24"/>
          <w:lang w:eastAsia="nl-NL"/>
        </w:rPr>
        <w:t>KvK-nummer:</w:t>
      </w:r>
      <w:r w:rsidRPr="00976E01">
        <w:rPr>
          <w:rFonts w:asciiTheme="minorHAnsi" w:eastAsia="Times New Roman" w:hAnsiTheme="minorHAnsi" w:cstheme="minorHAnsi"/>
          <w:sz w:val="24"/>
          <w:szCs w:val="24"/>
          <w:lang w:eastAsia="nl-NL"/>
        </w:rPr>
        <w:tab/>
        <w:t>41239863</w:t>
      </w:r>
    </w:p>
    <w:p w14:paraId="70BB93E8" w14:textId="77777777" w:rsidR="00BF25DA" w:rsidRPr="00976E01" w:rsidRDefault="00BF25DA" w:rsidP="00BF25DA">
      <w:pPr>
        <w:tabs>
          <w:tab w:val="left" w:pos="1843"/>
        </w:tabs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  <w:r w:rsidRPr="00976E01">
        <w:rPr>
          <w:rFonts w:asciiTheme="minorHAnsi" w:eastAsia="Times New Roman" w:hAnsiTheme="minorHAnsi" w:cstheme="minorHAnsi"/>
          <w:sz w:val="24"/>
          <w:szCs w:val="24"/>
          <w:lang w:eastAsia="nl-NL"/>
        </w:rPr>
        <w:t xml:space="preserve">Postadres: </w:t>
      </w:r>
      <w:r w:rsidRPr="00976E01">
        <w:rPr>
          <w:rFonts w:asciiTheme="minorHAnsi" w:eastAsia="Times New Roman" w:hAnsiTheme="minorHAnsi" w:cstheme="minorHAnsi"/>
          <w:sz w:val="24"/>
          <w:szCs w:val="24"/>
          <w:lang w:eastAsia="nl-NL"/>
        </w:rPr>
        <w:tab/>
        <w:t>Populierenstraat 28, 1731 SP Winkel</w:t>
      </w:r>
    </w:p>
    <w:p w14:paraId="67260D83" w14:textId="77777777" w:rsidR="00BF25DA" w:rsidRPr="00976E01" w:rsidRDefault="00BF25DA" w:rsidP="00BF25DA">
      <w:pPr>
        <w:tabs>
          <w:tab w:val="left" w:pos="1843"/>
        </w:tabs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  <w:r w:rsidRPr="00976E01">
        <w:rPr>
          <w:rFonts w:asciiTheme="minorHAnsi" w:eastAsia="Times New Roman" w:hAnsiTheme="minorHAnsi" w:cstheme="minorHAnsi"/>
          <w:sz w:val="24"/>
          <w:szCs w:val="24"/>
          <w:lang w:eastAsia="nl-NL"/>
        </w:rPr>
        <w:t xml:space="preserve">E-mail: </w:t>
      </w:r>
      <w:r w:rsidRPr="00976E01">
        <w:rPr>
          <w:rFonts w:asciiTheme="minorHAnsi" w:eastAsia="Times New Roman" w:hAnsiTheme="minorHAnsi" w:cstheme="minorHAnsi"/>
          <w:sz w:val="24"/>
          <w:szCs w:val="24"/>
          <w:lang w:eastAsia="nl-NL"/>
        </w:rPr>
        <w:tab/>
      </w:r>
      <w:hyperlink r:id="rId9" w:history="1">
        <w:r w:rsidRPr="00976E01">
          <w:rPr>
            <w:rFonts w:asciiTheme="minorHAnsi" w:eastAsia="Times New Roman" w:hAnsiTheme="minorHAnsi" w:cstheme="minorHAnsi"/>
            <w:sz w:val="24"/>
            <w:szCs w:val="24"/>
            <w:u w:val="single"/>
            <w:lang w:eastAsia="nl-NL"/>
          </w:rPr>
          <w:t>info@culturelestichtingniedorp.nl</w:t>
        </w:r>
      </w:hyperlink>
    </w:p>
    <w:p w14:paraId="39E13986" w14:textId="667F791C" w:rsidR="00BF25DA" w:rsidRPr="00976E01" w:rsidRDefault="00976E01" w:rsidP="00976E01">
      <w:pPr>
        <w:tabs>
          <w:tab w:val="left" w:pos="1843"/>
        </w:tabs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nl-NL"/>
        </w:rPr>
        <w:t>Website:</w:t>
      </w:r>
      <w:r>
        <w:rPr>
          <w:rFonts w:asciiTheme="minorHAnsi" w:eastAsia="Times New Roman" w:hAnsiTheme="minorHAnsi" w:cstheme="minorHAnsi"/>
          <w:sz w:val="24"/>
          <w:szCs w:val="24"/>
          <w:lang w:eastAsia="nl-NL"/>
        </w:rPr>
        <w:tab/>
        <w:t>www.culturelestichtingniedorp.nl</w:t>
      </w:r>
    </w:p>
    <w:p w14:paraId="72921739" w14:textId="0F33BAC9" w:rsidR="00EC5833" w:rsidRDefault="00EC5833" w:rsidP="00EC5833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</w:p>
    <w:p w14:paraId="4E915D74" w14:textId="77777777" w:rsidR="00976E01" w:rsidRPr="00976E01" w:rsidRDefault="00976E01" w:rsidP="00EC5833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</w:p>
    <w:p w14:paraId="0290D0D5" w14:textId="25A85273" w:rsidR="00EC5833" w:rsidRPr="00976E01" w:rsidRDefault="00D30036" w:rsidP="00EC5833">
      <w:pPr>
        <w:spacing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nl-NL"/>
        </w:rPr>
      </w:pPr>
      <w:r w:rsidRPr="00976E01">
        <w:rPr>
          <w:rFonts w:asciiTheme="minorHAnsi" w:eastAsia="Times New Roman" w:hAnsiTheme="minorHAnsi" w:cstheme="minorHAnsi"/>
          <w:b/>
          <w:bCs/>
          <w:sz w:val="24"/>
          <w:szCs w:val="24"/>
          <w:lang w:eastAsia="nl-NL"/>
        </w:rPr>
        <w:t>Bestuur</w:t>
      </w:r>
    </w:p>
    <w:p w14:paraId="4CDF4E1F" w14:textId="39B8FFE0" w:rsidR="00EC5833" w:rsidRPr="00976E01" w:rsidRDefault="00EC5833" w:rsidP="00587C33">
      <w:pPr>
        <w:tabs>
          <w:tab w:val="left" w:pos="1843"/>
        </w:tabs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  <w:r w:rsidRPr="00976E01">
        <w:rPr>
          <w:rFonts w:asciiTheme="minorHAnsi" w:eastAsia="Times New Roman" w:hAnsiTheme="minorHAnsi" w:cstheme="minorHAnsi"/>
          <w:sz w:val="24"/>
          <w:szCs w:val="24"/>
          <w:lang w:eastAsia="nl-NL"/>
        </w:rPr>
        <w:t xml:space="preserve">Voorzitter: </w:t>
      </w:r>
      <w:r w:rsidR="00976E01">
        <w:rPr>
          <w:rFonts w:asciiTheme="minorHAnsi" w:eastAsia="Times New Roman" w:hAnsiTheme="minorHAnsi" w:cstheme="minorHAnsi"/>
          <w:sz w:val="24"/>
          <w:szCs w:val="24"/>
          <w:lang w:eastAsia="nl-NL"/>
        </w:rPr>
        <w:tab/>
      </w:r>
      <w:r w:rsidR="00686195">
        <w:rPr>
          <w:rFonts w:asciiTheme="minorHAnsi" w:eastAsia="Times New Roman" w:hAnsiTheme="minorHAnsi" w:cstheme="minorHAnsi"/>
          <w:sz w:val="24"/>
          <w:szCs w:val="24"/>
          <w:lang w:eastAsia="nl-NL"/>
        </w:rPr>
        <w:t>Nico Voogd</w:t>
      </w:r>
    </w:p>
    <w:p w14:paraId="43EF75DC" w14:textId="081F15F8" w:rsidR="00EC5833" w:rsidRPr="00976E01" w:rsidRDefault="00EC5833" w:rsidP="00587C33">
      <w:pPr>
        <w:tabs>
          <w:tab w:val="left" w:pos="1843"/>
        </w:tabs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  <w:r w:rsidRPr="00976E01">
        <w:rPr>
          <w:rFonts w:asciiTheme="minorHAnsi" w:eastAsia="Times New Roman" w:hAnsiTheme="minorHAnsi" w:cstheme="minorHAnsi"/>
          <w:sz w:val="24"/>
          <w:szCs w:val="24"/>
          <w:lang w:eastAsia="nl-NL"/>
        </w:rPr>
        <w:t xml:space="preserve">Secretaris: </w:t>
      </w:r>
      <w:r w:rsidR="00976E01">
        <w:rPr>
          <w:rFonts w:asciiTheme="minorHAnsi" w:eastAsia="Times New Roman" w:hAnsiTheme="minorHAnsi" w:cstheme="minorHAnsi"/>
          <w:sz w:val="24"/>
          <w:szCs w:val="24"/>
          <w:lang w:eastAsia="nl-NL"/>
        </w:rPr>
        <w:tab/>
      </w:r>
      <w:r w:rsidRPr="00976E01">
        <w:rPr>
          <w:rFonts w:asciiTheme="minorHAnsi" w:eastAsia="Times New Roman" w:hAnsiTheme="minorHAnsi" w:cstheme="minorHAnsi"/>
          <w:sz w:val="24"/>
          <w:szCs w:val="24"/>
          <w:lang w:eastAsia="nl-NL"/>
        </w:rPr>
        <w:t>M</w:t>
      </w:r>
      <w:r w:rsidR="00976E01">
        <w:rPr>
          <w:rFonts w:asciiTheme="minorHAnsi" w:eastAsia="Times New Roman" w:hAnsiTheme="minorHAnsi" w:cstheme="minorHAnsi"/>
          <w:sz w:val="24"/>
          <w:szCs w:val="24"/>
          <w:lang w:eastAsia="nl-NL"/>
        </w:rPr>
        <w:t>arijke</w:t>
      </w:r>
      <w:r w:rsidRPr="00976E01">
        <w:rPr>
          <w:rFonts w:asciiTheme="minorHAnsi" w:eastAsia="Times New Roman" w:hAnsiTheme="minorHAnsi" w:cstheme="minorHAnsi"/>
          <w:sz w:val="24"/>
          <w:szCs w:val="24"/>
          <w:lang w:eastAsia="nl-NL"/>
        </w:rPr>
        <w:t xml:space="preserve"> van der Holst</w:t>
      </w:r>
    </w:p>
    <w:p w14:paraId="3B9BBCA4" w14:textId="60F398D7" w:rsidR="00EC5833" w:rsidRPr="00976E01" w:rsidRDefault="00EC5833" w:rsidP="00587C33">
      <w:pPr>
        <w:tabs>
          <w:tab w:val="left" w:pos="1843"/>
        </w:tabs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  <w:r w:rsidRPr="00976E01">
        <w:rPr>
          <w:rFonts w:asciiTheme="minorHAnsi" w:eastAsia="Times New Roman" w:hAnsiTheme="minorHAnsi" w:cstheme="minorHAnsi"/>
          <w:sz w:val="24"/>
          <w:szCs w:val="24"/>
          <w:lang w:eastAsia="nl-NL"/>
        </w:rPr>
        <w:t>Penningmeester:</w:t>
      </w:r>
      <w:r w:rsidR="00976E01">
        <w:rPr>
          <w:rFonts w:asciiTheme="minorHAnsi" w:eastAsia="Times New Roman" w:hAnsiTheme="minorHAnsi" w:cstheme="minorHAnsi"/>
          <w:sz w:val="24"/>
          <w:szCs w:val="24"/>
          <w:lang w:eastAsia="nl-NL"/>
        </w:rPr>
        <w:tab/>
      </w:r>
      <w:r w:rsidRPr="00976E01">
        <w:rPr>
          <w:rFonts w:asciiTheme="minorHAnsi" w:eastAsia="Times New Roman" w:hAnsiTheme="minorHAnsi" w:cstheme="minorHAnsi"/>
          <w:sz w:val="24"/>
          <w:szCs w:val="24"/>
          <w:lang w:eastAsia="nl-NL"/>
        </w:rPr>
        <w:t>I</w:t>
      </w:r>
      <w:r w:rsidR="00976E01">
        <w:rPr>
          <w:rFonts w:asciiTheme="minorHAnsi" w:eastAsia="Times New Roman" w:hAnsiTheme="minorHAnsi" w:cstheme="minorHAnsi"/>
          <w:sz w:val="24"/>
          <w:szCs w:val="24"/>
          <w:lang w:eastAsia="nl-NL"/>
        </w:rPr>
        <w:t>na</w:t>
      </w:r>
      <w:r w:rsidRPr="00976E01">
        <w:rPr>
          <w:rFonts w:asciiTheme="minorHAnsi" w:eastAsia="Times New Roman" w:hAnsiTheme="minorHAnsi" w:cstheme="minorHAnsi"/>
          <w:sz w:val="24"/>
          <w:szCs w:val="24"/>
          <w:lang w:eastAsia="nl-NL"/>
        </w:rPr>
        <w:t xml:space="preserve"> Blokker</w:t>
      </w:r>
    </w:p>
    <w:p w14:paraId="3BB201DA" w14:textId="0A1D7441" w:rsidR="00EC5833" w:rsidRPr="00976E01" w:rsidRDefault="00EC5833" w:rsidP="00587C33">
      <w:pPr>
        <w:tabs>
          <w:tab w:val="left" w:pos="1843"/>
        </w:tabs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  <w:r w:rsidRPr="00976E01">
        <w:rPr>
          <w:rFonts w:asciiTheme="minorHAnsi" w:eastAsia="Times New Roman" w:hAnsiTheme="minorHAnsi" w:cstheme="minorHAnsi"/>
          <w:sz w:val="24"/>
          <w:szCs w:val="24"/>
          <w:lang w:eastAsia="nl-NL"/>
        </w:rPr>
        <w:t>PR/2e Secretaris:</w:t>
      </w:r>
      <w:r w:rsidR="00976E01">
        <w:rPr>
          <w:rFonts w:asciiTheme="minorHAnsi" w:eastAsia="Times New Roman" w:hAnsiTheme="minorHAnsi" w:cstheme="minorHAnsi"/>
          <w:sz w:val="24"/>
          <w:szCs w:val="24"/>
          <w:lang w:eastAsia="nl-NL"/>
        </w:rPr>
        <w:tab/>
      </w:r>
      <w:r w:rsidRPr="00976E01">
        <w:rPr>
          <w:rFonts w:asciiTheme="minorHAnsi" w:eastAsia="Times New Roman" w:hAnsiTheme="minorHAnsi" w:cstheme="minorHAnsi"/>
          <w:sz w:val="24"/>
          <w:szCs w:val="24"/>
          <w:lang w:eastAsia="nl-NL"/>
        </w:rPr>
        <w:t>M</w:t>
      </w:r>
      <w:r w:rsidR="00976E01">
        <w:rPr>
          <w:rFonts w:asciiTheme="minorHAnsi" w:eastAsia="Times New Roman" w:hAnsiTheme="minorHAnsi" w:cstheme="minorHAnsi"/>
          <w:sz w:val="24"/>
          <w:szCs w:val="24"/>
          <w:lang w:eastAsia="nl-NL"/>
        </w:rPr>
        <w:t>aartje</w:t>
      </w:r>
      <w:r w:rsidRPr="00976E01">
        <w:rPr>
          <w:rFonts w:asciiTheme="minorHAnsi" w:eastAsia="Times New Roman" w:hAnsiTheme="minorHAnsi" w:cstheme="minorHAnsi"/>
          <w:sz w:val="24"/>
          <w:szCs w:val="24"/>
          <w:lang w:eastAsia="nl-NL"/>
        </w:rPr>
        <w:t xml:space="preserve"> de Vries</w:t>
      </w:r>
    </w:p>
    <w:p w14:paraId="36FDCD48" w14:textId="4A2D5506" w:rsidR="00EC5833" w:rsidRPr="00976E01" w:rsidRDefault="00EC5833" w:rsidP="00587C33">
      <w:pPr>
        <w:tabs>
          <w:tab w:val="left" w:pos="1843"/>
        </w:tabs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  <w:r w:rsidRPr="00976E01">
        <w:rPr>
          <w:rFonts w:asciiTheme="minorHAnsi" w:eastAsia="Times New Roman" w:hAnsiTheme="minorHAnsi" w:cstheme="minorHAnsi"/>
          <w:sz w:val="24"/>
          <w:szCs w:val="24"/>
          <w:lang w:eastAsia="nl-NL"/>
        </w:rPr>
        <w:t>Programmering:</w:t>
      </w:r>
      <w:r w:rsidR="00976E01">
        <w:rPr>
          <w:rFonts w:asciiTheme="minorHAnsi" w:eastAsia="Times New Roman" w:hAnsiTheme="minorHAnsi" w:cstheme="minorHAnsi"/>
          <w:sz w:val="24"/>
          <w:szCs w:val="24"/>
          <w:lang w:eastAsia="nl-NL"/>
        </w:rPr>
        <w:tab/>
      </w:r>
      <w:r w:rsidRPr="00976E01">
        <w:rPr>
          <w:rFonts w:asciiTheme="minorHAnsi" w:eastAsia="Times New Roman" w:hAnsiTheme="minorHAnsi" w:cstheme="minorHAnsi"/>
          <w:sz w:val="24"/>
          <w:szCs w:val="24"/>
          <w:lang w:eastAsia="nl-NL"/>
        </w:rPr>
        <w:t>R</w:t>
      </w:r>
      <w:r w:rsidR="00976E01">
        <w:rPr>
          <w:rFonts w:asciiTheme="minorHAnsi" w:eastAsia="Times New Roman" w:hAnsiTheme="minorHAnsi" w:cstheme="minorHAnsi"/>
          <w:sz w:val="24"/>
          <w:szCs w:val="24"/>
          <w:lang w:eastAsia="nl-NL"/>
        </w:rPr>
        <w:t>ob</w:t>
      </w:r>
      <w:r w:rsidRPr="00976E01">
        <w:rPr>
          <w:rFonts w:asciiTheme="minorHAnsi" w:eastAsia="Times New Roman" w:hAnsiTheme="minorHAnsi" w:cstheme="minorHAnsi"/>
          <w:sz w:val="24"/>
          <w:szCs w:val="24"/>
          <w:lang w:eastAsia="nl-NL"/>
        </w:rPr>
        <w:t xml:space="preserve"> Leguit en </w:t>
      </w:r>
      <w:r w:rsidR="00976E01">
        <w:rPr>
          <w:rFonts w:asciiTheme="minorHAnsi" w:eastAsia="Times New Roman" w:hAnsiTheme="minorHAnsi" w:cstheme="minorHAnsi"/>
          <w:sz w:val="24"/>
          <w:szCs w:val="24"/>
          <w:lang w:eastAsia="nl-NL"/>
        </w:rPr>
        <w:t>Liesbeth</w:t>
      </w:r>
      <w:r w:rsidRPr="00976E01">
        <w:rPr>
          <w:rFonts w:asciiTheme="minorHAnsi" w:eastAsia="Times New Roman" w:hAnsiTheme="minorHAnsi" w:cstheme="minorHAnsi"/>
          <w:sz w:val="24"/>
          <w:szCs w:val="24"/>
          <w:lang w:eastAsia="nl-NL"/>
        </w:rPr>
        <w:t xml:space="preserve"> van der Nagel </w:t>
      </w:r>
    </w:p>
    <w:p w14:paraId="1068A8D8" w14:textId="39BAF9F7" w:rsidR="00BF25DA" w:rsidRDefault="00BF25DA" w:rsidP="00587C33">
      <w:pPr>
        <w:tabs>
          <w:tab w:val="left" w:pos="1843"/>
        </w:tabs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</w:p>
    <w:p w14:paraId="551455DE" w14:textId="77777777" w:rsidR="00976E01" w:rsidRPr="00976E01" w:rsidRDefault="00976E01" w:rsidP="00587C33">
      <w:pPr>
        <w:tabs>
          <w:tab w:val="left" w:pos="1843"/>
        </w:tabs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</w:p>
    <w:p w14:paraId="1A220DCF" w14:textId="475C89F9" w:rsidR="00BF25DA" w:rsidRPr="00976E01" w:rsidRDefault="00D30036" w:rsidP="00BF25DA">
      <w:pPr>
        <w:spacing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nl-NL"/>
        </w:rPr>
      </w:pPr>
      <w:r w:rsidRPr="00976E01">
        <w:rPr>
          <w:rFonts w:asciiTheme="minorHAnsi" w:eastAsia="Times New Roman" w:hAnsiTheme="minorHAnsi" w:cstheme="minorHAnsi"/>
          <w:b/>
          <w:bCs/>
          <w:sz w:val="24"/>
          <w:szCs w:val="24"/>
          <w:lang w:eastAsia="nl-NL"/>
        </w:rPr>
        <w:t>Doelstelling en actueel beleid</w:t>
      </w:r>
    </w:p>
    <w:p w14:paraId="02608BBF" w14:textId="418D7904" w:rsidR="00D30036" w:rsidRPr="00976E01" w:rsidRDefault="00D30036" w:rsidP="00D30036">
      <w:pPr>
        <w:spacing w:line="240" w:lineRule="auto"/>
        <w:rPr>
          <w:sz w:val="24"/>
          <w:szCs w:val="24"/>
        </w:rPr>
      </w:pPr>
      <w:r w:rsidRPr="00976E01">
        <w:rPr>
          <w:sz w:val="24"/>
          <w:szCs w:val="24"/>
        </w:rPr>
        <w:t>De Culturele Stichting Niedorp heeft als hoofddoel de leefbaarheid in de dorpen van de voormalige gemeente Niedorp te verbeteren en/of te vergroten door het jaarlijks organi</w:t>
      </w:r>
      <w:r w:rsidR="00976E01">
        <w:rPr>
          <w:sz w:val="24"/>
          <w:szCs w:val="24"/>
        </w:rPr>
        <w:softHyphen/>
      </w:r>
      <w:r w:rsidRPr="00976E01">
        <w:rPr>
          <w:sz w:val="24"/>
          <w:szCs w:val="24"/>
        </w:rPr>
        <w:t xml:space="preserve">seren van concerten van hoog niveau, meestal in de </w:t>
      </w:r>
      <w:r w:rsidR="00976E01">
        <w:rPr>
          <w:sz w:val="24"/>
          <w:szCs w:val="24"/>
        </w:rPr>
        <w:t>Lucas</w:t>
      </w:r>
      <w:r w:rsidRPr="00976E01">
        <w:rPr>
          <w:sz w:val="24"/>
          <w:szCs w:val="24"/>
        </w:rPr>
        <w:t xml:space="preserve">kerk </w:t>
      </w:r>
      <w:r w:rsidR="00976E01">
        <w:rPr>
          <w:sz w:val="24"/>
          <w:szCs w:val="24"/>
        </w:rPr>
        <w:t>in</w:t>
      </w:r>
      <w:r w:rsidRPr="00976E01">
        <w:rPr>
          <w:sz w:val="24"/>
          <w:szCs w:val="24"/>
        </w:rPr>
        <w:t xml:space="preserve"> de woonkern Winkel.</w:t>
      </w:r>
    </w:p>
    <w:p w14:paraId="4CDDCA12" w14:textId="5CD0CFA1" w:rsidR="00D30036" w:rsidRPr="00976E01" w:rsidRDefault="00D30036" w:rsidP="00D30036">
      <w:pPr>
        <w:spacing w:line="240" w:lineRule="auto"/>
        <w:rPr>
          <w:sz w:val="24"/>
          <w:szCs w:val="24"/>
        </w:rPr>
      </w:pPr>
      <w:r w:rsidRPr="00976E01">
        <w:rPr>
          <w:sz w:val="24"/>
          <w:szCs w:val="24"/>
        </w:rPr>
        <w:t xml:space="preserve">De achterliggende gedachte is </w:t>
      </w:r>
      <w:r w:rsidR="00976E01">
        <w:rPr>
          <w:sz w:val="24"/>
          <w:szCs w:val="24"/>
        </w:rPr>
        <w:t xml:space="preserve">het </w:t>
      </w:r>
      <w:r w:rsidRPr="00976E01">
        <w:rPr>
          <w:sz w:val="24"/>
          <w:szCs w:val="24"/>
        </w:rPr>
        <w:t xml:space="preserve">behoud en </w:t>
      </w:r>
      <w:r w:rsidR="00976E01">
        <w:rPr>
          <w:sz w:val="24"/>
          <w:szCs w:val="24"/>
        </w:rPr>
        <w:t xml:space="preserve">de </w:t>
      </w:r>
      <w:r w:rsidRPr="00976E01">
        <w:rPr>
          <w:sz w:val="24"/>
          <w:szCs w:val="24"/>
        </w:rPr>
        <w:t xml:space="preserve">verbetering van </w:t>
      </w:r>
      <w:r w:rsidR="00976E01">
        <w:rPr>
          <w:sz w:val="24"/>
          <w:szCs w:val="24"/>
        </w:rPr>
        <w:t xml:space="preserve">het </w:t>
      </w:r>
      <w:r w:rsidRPr="00976E01">
        <w:rPr>
          <w:sz w:val="24"/>
          <w:szCs w:val="24"/>
        </w:rPr>
        <w:t>woon</w:t>
      </w:r>
      <w:r w:rsidR="007E79E1">
        <w:rPr>
          <w:sz w:val="24"/>
          <w:szCs w:val="24"/>
        </w:rPr>
        <w:t>plezier</w:t>
      </w:r>
      <w:r w:rsidRPr="00976E01">
        <w:rPr>
          <w:sz w:val="24"/>
          <w:szCs w:val="24"/>
        </w:rPr>
        <w:t xml:space="preserve">, waarmee de economische ontwikkeling van de plattelandskernen </w:t>
      </w:r>
      <w:r w:rsidR="00976E01" w:rsidRPr="00976E01">
        <w:rPr>
          <w:sz w:val="24"/>
          <w:szCs w:val="24"/>
        </w:rPr>
        <w:t>wordt gestimuleerd</w:t>
      </w:r>
      <w:r w:rsidR="00976E01">
        <w:rPr>
          <w:sz w:val="24"/>
          <w:szCs w:val="24"/>
        </w:rPr>
        <w:t xml:space="preserve"> </w:t>
      </w:r>
      <w:r w:rsidRPr="00976E01">
        <w:rPr>
          <w:sz w:val="24"/>
          <w:szCs w:val="24"/>
        </w:rPr>
        <w:t xml:space="preserve">en </w:t>
      </w:r>
      <w:r w:rsidR="00976E01">
        <w:rPr>
          <w:sz w:val="24"/>
          <w:szCs w:val="24"/>
        </w:rPr>
        <w:t xml:space="preserve">vergrijzing wordt </w:t>
      </w:r>
      <w:r w:rsidRPr="00976E01">
        <w:rPr>
          <w:sz w:val="24"/>
          <w:szCs w:val="24"/>
        </w:rPr>
        <w:t>tegen</w:t>
      </w:r>
      <w:r w:rsidR="00976E01">
        <w:rPr>
          <w:sz w:val="24"/>
          <w:szCs w:val="24"/>
        </w:rPr>
        <w:t>ge</w:t>
      </w:r>
      <w:r w:rsidRPr="00976E01">
        <w:rPr>
          <w:sz w:val="24"/>
          <w:szCs w:val="24"/>
        </w:rPr>
        <w:t>gaan</w:t>
      </w:r>
      <w:r w:rsidR="00976E01">
        <w:rPr>
          <w:sz w:val="24"/>
          <w:szCs w:val="24"/>
        </w:rPr>
        <w:t>.</w:t>
      </w:r>
    </w:p>
    <w:p w14:paraId="739DEA68" w14:textId="780B045F" w:rsidR="00D30036" w:rsidRDefault="00D30036" w:rsidP="00D30036">
      <w:pPr>
        <w:spacing w:line="240" w:lineRule="auto"/>
        <w:rPr>
          <w:sz w:val="24"/>
          <w:szCs w:val="24"/>
        </w:rPr>
      </w:pPr>
      <w:r w:rsidRPr="00976E01">
        <w:rPr>
          <w:sz w:val="24"/>
          <w:szCs w:val="24"/>
        </w:rPr>
        <w:t>Tevens streeft de CSN</w:t>
      </w:r>
      <w:r w:rsidR="0022430C">
        <w:rPr>
          <w:sz w:val="24"/>
          <w:szCs w:val="24"/>
        </w:rPr>
        <w:t xml:space="preserve"> er naar </w:t>
      </w:r>
      <w:r w:rsidRPr="00976E01">
        <w:rPr>
          <w:sz w:val="24"/>
          <w:szCs w:val="24"/>
        </w:rPr>
        <w:t>om mensen met een minim</w:t>
      </w:r>
      <w:r w:rsidR="0022430C">
        <w:rPr>
          <w:sz w:val="24"/>
          <w:szCs w:val="24"/>
        </w:rPr>
        <w:t>um</w:t>
      </w:r>
      <w:r w:rsidRPr="00976E01">
        <w:rPr>
          <w:sz w:val="24"/>
          <w:szCs w:val="24"/>
        </w:rPr>
        <w:t xml:space="preserve"> inkomen</w:t>
      </w:r>
      <w:r w:rsidR="00976E01">
        <w:rPr>
          <w:sz w:val="24"/>
          <w:szCs w:val="24"/>
        </w:rPr>
        <w:t>,</w:t>
      </w:r>
      <w:r w:rsidRPr="00976E01">
        <w:rPr>
          <w:sz w:val="24"/>
          <w:szCs w:val="24"/>
        </w:rPr>
        <w:t xml:space="preserve"> die</w:t>
      </w:r>
      <w:r w:rsidR="0022430C">
        <w:rPr>
          <w:sz w:val="24"/>
          <w:szCs w:val="24"/>
        </w:rPr>
        <w:t xml:space="preserve"> niet</w:t>
      </w:r>
      <w:r w:rsidRPr="00976E01">
        <w:rPr>
          <w:sz w:val="24"/>
          <w:szCs w:val="24"/>
        </w:rPr>
        <w:t xml:space="preserve"> in de </w:t>
      </w:r>
      <w:r w:rsidR="0022430C">
        <w:rPr>
          <w:sz w:val="24"/>
          <w:szCs w:val="24"/>
        </w:rPr>
        <w:t xml:space="preserve">staat </w:t>
      </w:r>
      <w:r w:rsidRPr="00976E01">
        <w:rPr>
          <w:sz w:val="24"/>
          <w:szCs w:val="24"/>
        </w:rPr>
        <w:t xml:space="preserve"> zijn een "</w:t>
      </w:r>
      <w:r w:rsidR="0022430C">
        <w:rPr>
          <w:sz w:val="24"/>
          <w:szCs w:val="24"/>
        </w:rPr>
        <w:t xml:space="preserve">leuk </w:t>
      </w:r>
      <w:r w:rsidRPr="00976E01">
        <w:rPr>
          <w:sz w:val="24"/>
          <w:szCs w:val="24"/>
        </w:rPr>
        <w:t>uit</w:t>
      </w:r>
      <w:r w:rsidR="0022430C">
        <w:rPr>
          <w:sz w:val="24"/>
          <w:szCs w:val="24"/>
        </w:rPr>
        <w:t>je</w:t>
      </w:r>
      <w:r w:rsidRPr="00976E01">
        <w:rPr>
          <w:sz w:val="24"/>
          <w:szCs w:val="24"/>
        </w:rPr>
        <w:t xml:space="preserve">" te </w:t>
      </w:r>
      <w:r w:rsidR="00976E01">
        <w:rPr>
          <w:sz w:val="24"/>
          <w:szCs w:val="24"/>
        </w:rPr>
        <w:t>betalen</w:t>
      </w:r>
      <w:r w:rsidRPr="00976E01">
        <w:rPr>
          <w:sz w:val="24"/>
          <w:szCs w:val="24"/>
        </w:rPr>
        <w:t xml:space="preserve">, </w:t>
      </w:r>
      <w:r w:rsidR="0022430C" w:rsidRPr="00976E01">
        <w:rPr>
          <w:sz w:val="24"/>
          <w:szCs w:val="24"/>
        </w:rPr>
        <w:t>gratis toegang te bieden</w:t>
      </w:r>
      <w:r w:rsidR="0022430C">
        <w:rPr>
          <w:sz w:val="24"/>
          <w:szCs w:val="24"/>
        </w:rPr>
        <w:t xml:space="preserve"> tot onze concerten. Dit </w:t>
      </w:r>
      <w:r w:rsidRPr="00976E01">
        <w:rPr>
          <w:sz w:val="24"/>
          <w:szCs w:val="24"/>
        </w:rPr>
        <w:t xml:space="preserve">geldt </w:t>
      </w:r>
      <w:r w:rsidR="0022430C">
        <w:rPr>
          <w:sz w:val="24"/>
          <w:szCs w:val="24"/>
        </w:rPr>
        <w:t xml:space="preserve">ook </w:t>
      </w:r>
      <w:r w:rsidRPr="00976E01">
        <w:rPr>
          <w:sz w:val="24"/>
          <w:szCs w:val="24"/>
        </w:rPr>
        <w:t>voor de "nieuwe Nederlanders"</w:t>
      </w:r>
      <w:r w:rsidR="0022430C">
        <w:rPr>
          <w:sz w:val="24"/>
          <w:szCs w:val="24"/>
        </w:rPr>
        <w:t>,</w:t>
      </w:r>
      <w:r w:rsidRPr="00976E01">
        <w:rPr>
          <w:sz w:val="24"/>
          <w:szCs w:val="24"/>
        </w:rPr>
        <w:t xml:space="preserve"> die druk doende zijn de </w:t>
      </w:r>
      <w:r w:rsidR="00976E01">
        <w:rPr>
          <w:sz w:val="24"/>
          <w:szCs w:val="24"/>
        </w:rPr>
        <w:t xml:space="preserve">taal en de </w:t>
      </w:r>
      <w:r w:rsidRPr="00976E01">
        <w:rPr>
          <w:sz w:val="24"/>
          <w:szCs w:val="24"/>
        </w:rPr>
        <w:t>cultuur van ons land te leren kennen.</w:t>
      </w:r>
      <w:r w:rsidR="00934579" w:rsidRPr="00934579">
        <w:rPr>
          <w:sz w:val="24"/>
          <w:szCs w:val="24"/>
        </w:rPr>
        <w:t xml:space="preserve"> </w:t>
      </w:r>
      <w:r w:rsidR="00934579">
        <w:rPr>
          <w:sz w:val="24"/>
          <w:szCs w:val="24"/>
        </w:rPr>
        <w:t xml:space="preserve">Dit in </w:t>
      </w:r>
      <w:r w:rsidR="00934579" w:rsidRPr="00976E01">
        <w:rPr>
          <w:sz w:val="24"/>
          <w:szCs w:val="24"/>
        </w:rPr>
        <w:t>samenwerking met andere organisaties</w:t>
      </w:r>
      <w:r w:rsidR="00934579">
        <w:rPr>
          <w:sz w:val="24"/>
          <w:szCs w:val="24"/>
        </w:rPr>
        <w:t xml:space="preserve"> en sponsoren.</w:t>
      </w:r>
    </w:p>
    <w:p w14:paraId="130796D6" w14:textId="77777777" w:rsidR="00976E01" w:rsidRPr="00976E01" w:rsidRDefault="00976E01" w:rsidP="00D30036">
      <w:pPr>
        <w:spacing w:line="240" w:lineRule="auto"/>
        <w:rPr>
          <w:sz w:val="24"/>
          <w:szCs w:val="24"/>
        </w:rPr>
      </w:pPr>
    </w:p>
    <w:p w14:paraId="0C368EC5" w14:textId="48D82001" w:rsidR="00D30036" w:rsidRPr="00976E01" w:rsidRDefault="00D30036" w:rsidP="00D30036">
      <w:pPr>
        <w:spacing w:line="240" w:lineRule="auto"/>
        <w:rPr>
          <w:b/>
          <w:sz w:val="24"/>
          <w:szCs w:val="24"/>
        </w:rPr>
      </w:pPr>
      <w:r w:rsidRPr="00976E01">
        <w:rPr>
          <w:b/>
          <w:sz w:val="24"/>
          <w:szCs w:val="24"/>
        </w:rPr>
        <w:t>De werkzaamheden van de CSN</w:t>
      </w:r>
    </w:p>
    <w:p w14:paraId="240FE021" w14:textId="77777777" w:rsidR="00D30036" w:rsidRPr="00976E01" w:rsidRDefault="00D30036" w:rsidP="00D30036">
      <w:pPr>
        <w:spacing w:line="240" w:lineRule="auto"/>
        <w:rPr>
          <w:sz w:val="24"/>
          <w:szCs w:val="24"/>
        </w:rPr>
      </w:pPr>
      <w:r w:rsidRPr="00976E01">
        <w:rPr>
          <w:sz w:val="24"/>
          <w:szCs w:val="24"/>
        </w:rPr>
        <w:t>Alle werkzaamheden worden door vrijwilligers uitgevoerd. Zij ontvangen uitsluitend vergoeding voor werkelijk gemaakte kosten.</w:t>
      </w:r>
    </w:p>
    <w:p w14:paraId="10160D2F" w14:textId="592920D4" w:rsidR="00D30036" w:rsidRPr="00976E01" w:rsidRDefault="00934579" w:rsidP="00D3003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Om haar doel te bereiken organiseert d</w:t>
      </w:r>
      <w:r w:rsidR="00D30036" w:rsidRPr="00976E01">
        <w:rPr>
          <w:sz w:val="24"/>
          <w:szCs w:val="24"/>
        </w:rPr>
        <w:t xml:space="preserve">e CSN jaarlijks </w:t>
      </w:r>
      <w:r w:rsidR="003A4C17">
        <w:rPr>
          <w:sz w:val="24"/>
          <w:szCs w:val="24"/>
        </w:rPr>
        <w:t>zes</w:t>
      </w:r>
      <w:r w:rsidR="00D30036" w:rsidRPr="00976E01">
        <w:rPr>
          <w:sz w:val="24"/>
          <w:szCs w:val="24"/>
        </w:rPr>
        <w:t xml:space="preserve"> à </w:t>
      </w:r>
      <w:r w:rsidR="003A4C17">
        <w:rPr>
          <w:sz w:val="24"/>
          <w:szCs w:val="24"/>
        </w:rPr>
        <w:t>zeven</w:t>
      </w:r>
      <w:r w:rsidR="00D30036" w:rsidRPr="00976E01">
        <w:rPr>
          <w:sz w:val="24"/>
          <w:szCs w:val="24"/>
        </w:rPr>
        <w:t xml:space="preserve"> concerten</w:t>
      </w:r>
      <w:r>
        <w:rPr>
          <w:sz w:val="24"/>
          <w:szCs w:val="24"/>
        </w:rPr>
        <w:t xml:space="preserve"> </w:t>
      </w:r>
      <w:r w:rsidR="00D30036" w:rsidRPr="00976E01">
        <w:rPr>
          <w:sz w:val="24"/>
          <w:szCs w:val="24"/>
        </w:rPr>
        <w:t>van hoog niveau</w:t>
      </w:r>
      <w:r w:rsidR="003A4C17">
        <w:rPr>
          <w:sz w:val="24"/>
          <w:szCs w:val="24"/>
        </w:rPr>
        <w:t>,</w:t>
      </w:r>
      <w:r w:rsidR="00D30036" w:rsidRPr="00976E01">
        <w:rPr>
          <w:sz w:val="24"/>
          <w:szCs w:val="24"/>
        </w:rPr>
        <w:t xml:space="preserve"> tegen zo betaalbaar mogelijke entreeprijzen. </w:t>
      </w:r>
    </w:p>
    <w:p w14:paraId="2EDF52A9" w14:textId="334E326C" w:rsidR="007925BB" w:rsidRDefault="00D30036" w:rsidP="00D30036">
      <w:pPr>
        <w:spacing w:line="240" w:lineRule="auto"/>
        <w:rPr>
          <w:sz w:val="24"/>
          <w:szCs w:val="24"/>
        </w:rPr>
        <w:sectPr w:rsidR="007925BB" w:rsidSect="00352B4A">
          <w:footerReference w:type="default" r:id="rId10"/>
          <w:pgSz w:w="11906" w:h="16838"/>
          <w:pgMar w:top="426" w:right="1417" w:bottom="851" w:left="1417" w:header="708" w:footer="280" w:gutter="0"/>
          <w:cols w:space="708"/>
          <w:docGrid w:linePitch="360"/>
        </w:sectPr>
      </w:pPr>
      <w:r w:rsidRPr="00976E01">
        <w:rPr>
          <w:sz w:val="24"/>
          <w:szCs w:val="24"/>
        </w:rPr>
        <w:t xml:space="preserve">Het bestuur neemt deel en werkt samen met drie andere regionale kerkpodia in </w:t>
      </w:r>
      <w:r w:rsidR="00934579">
        <w:rPr>
          <w:sz w:val="24"/>
          <w:szCs w:val="24"/>
        </w:rPr>
        <w:t xml:space="preserve">het samenwerkingsverband </w:t>
      </w:r>
      <w:r w:rsidR="003A4C17" w:rsidRPr="00934579">
        <w:rPr>
          <w:i/>
          <w:iCs/>
          <w:sz w:val="24"/>
          <w:szCs w:val="24"/>
        </w:rPr>
        <w:t xml:space="preserve">De </w:t>
      </w:r>
      <w:r w:rsidRPr="00934579">
        <w:rPr>
          <w:i/>
          <w:iCs/>
          <w:sz w:val="24"/>
          <w:szCs w:val="24"/>
        </w:rPr>
        <w:t>Kop Vol Muziek</w:t>
      </w:r>
      <w:r w:rsidR="003A4C17">
        <w:rPr>
          <w:sz w:val="24"/>
          <w:szCs w:val="24"/>
        </w:rPr>
        <w:t xml:space="preserve"> (hierna te noemen: De Kop)</w:t>
      </w:r>
      <w:r w:rsidRPr="00976E01">
        <w:rPr>
          <w:sz w:val="24"/>
          <w:szCs w:val="24"/>
        </w:rPr>
        <w:t>.</w:t>
      </w:r>
    </w:p>
    <w:p w14:paraId="7CDC2671" w14:textId="59F13552" w:rsidR="007925BB" w:rsidRDefault="007925BB" w:rsidP="00D3003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D30036" w:rsidRPr="00976E01">
        <w:rPr>
          <w:sz w:val="24"/>
          <w:szCs w:val="24"/>
        </w:rPr>
        <w:t xml:space="preserve">e CSN </w:t>
      </w:r>
      <w:r>
        <w:rPr>
          <w:sz w:val="24"/>
          <w:szCs w:val="24"/>
        </w:rPr>
        <w:t xml:space="preserve">heeft </w:t>
      </w:r>
      <w:r w:rsidR="00D30036" w:rsidRPr="00976E01">
        <w:rPr>
          <w:sz w:val="24"/>
          <w:szCs w:val="24"/>
        </w:rPr>
        <w:t>binnen haar bestuur de taken verdeeld</w:t>
      </w:r>
      <w:r>
        <w:rPr>
          <w:sz w:val="24"/>
          <w:szCs w:val="24"/>
        </w:rPr>
        <w:t xml:space="preserve">. </w:t>
      </w:r>
      <w:r w:rsidR="00D30036" w:rsidRPr="00976E01">
        <w:rPr>
          <w:sz w:val="24"/>
          <w:szCs w:val="24"/>
        </w:rPr>
        <w:t xml:space="preserve">Behalve de voorzitter, </w:t>
      </w:r>
      <w:r>
        <w:rPr>
          <w:sz w:val="24"/>
          <w:szCs w:val="24"/>
        </w:rPr>
        <w:t xml:space="preserve">de </w:t>
      </w:r>
      <w:r w:rsidR="00D30036" w:rsidRPr="00976E01">
        <w:rPr>
          <w:sz w:val="24"/>
          <w:szCs w:val="24"/>
        </w:rPr>
        <w:t xml:space="preserve">secretaris en </w:t>
      </w:r>
      <w:r>
        <w:rPr>
          <w:sz w:val="24"/>
          <w:szCs w:val="24"/>
        </w:rPr>
        <w:t xml:space="preserve">de </w:t>
      </w:r>
      <w:r w:rsidR="00D30036" w:rsidRPr="00976E01">
        <w:rPr>
          <w:sz w:val="24"/>
          <w:szCs w:val="24"/>
        </w:rPr>
        <w:t>penningmeester</w:t>
      </w:r>
      <w:r>
        <w:rPr>
          <w:sz w:val="24"/>
          <w:szCs w:val="24"/>
        </w:rPr>
        <w:t>,</w:t>
      </w:r>
      <w:r w:rsidR="00D30036" w:rsidRPr="00976E01">
        <w:rPr>
          <w:sz w:val="24"/>
          <w:szCs w:val="24"/>
        </w:rPr>
        <w:t xml:space="preserve"> die de gebruikelijke taken uitvoeren, </w:t>
      </w:r>
      <w:r w:rsidR="00A27C09">
        <w:rPr>
          <w:sz w:val="24"/>
          <w:szCs w:val="24"/>
        </w:rPr>
        <w:t>zijn</w:t>
      </w:r>
      <w:r w:rsidR="00D30036" w:rsidRPr="00976E01">
        <w:rPr>
          <w:sz w:val="24"/>
          <w:szCs w:val="24"/>
        </w:rPr>
        <w:t xml:space="preserve"> er ook</w:t>
      </w:r>
    </w:p>
    <w:p w14:paraId="16E89B56" w14:textId="77777777" w:rsidR="007925BB" w:rsidRDefault="007925BB" w:rsidP="007925BB">
      <w:pPr>
        <w:spacing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0036" w:rsidRPr="00976E01">
        <w:rPr>
          <w:sz w:val="24"/>
          <w:szCs w:val="24"/>
        </w:rPr>
        <w:t xml:space="preserve">een </w:t>
      </w:r>
      <w:r>
        <w:rPr>
          <w:i/>
          <w:sz w:val="24"/>
          <w:szCs w:val="24"/>
        </w:rPr>
        <w:t>P</w:t>
      </w:r>
      <w:r w:rsidR="00D30036" w:rsidRPr="00976E01">
        <w:rPr>
          <w:i/>
          <w:sz w:val="24"/>
          <w:szCs w:val="24"/>
        </w:rPr>
        <w:t>rogrammacommissie</w:t>
      </w:r>
      <w:r w:rsidR="00D30036" w:rsidRPr="00976E01">
        <w:rPr>
          <w:sz w:val="24"/>
          <w:szCs w:val="24"/>
        </w:rPr>
        <w:t>, die de concertuitvoeringen selecteert op kwaliteit en de artiesten contracteert</w:t>
      </w:r>
      <w:r>
        <w:rPr>
          <w:sz w:val="24"/>
          <w:szCs w:val="24"/>
        </w:rPr>
        <w:t>;</w:t>
      </w:r>
    </w:p>
    <w:p w14:paraId="4EC36D94" w14:textId="77777777" w:rsidR="007925BB" w:rsidRDefault="007925BB" w:rsidP="007925BB">
      <w:pPr>
        <w:spacing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0036" w:rsidRPr="00976E01">
        <w:rPr>
          <w:sz w:val="24"/>
          <w:szCs w:val="24"/>
        </w:rPr>
        <w:t xml:space="preserve">een </w:t>
      </w:r>
      <w:r w:rsidR="00D30036" w:rsidRPr="00976E01">
        <w:rPr>
          <w:i/>
          <w:sz w:val="24"/>
          <w:szCs w:val="24"/>
        </w:rPr>
        <w:t>PR-commissie</w:t>
      </w:r>
      <w:r w:rsidR="00D30036" w:rsidRPr="00976E01">
        <w:rPr>
          <w:sz w:val="24"/>
          <w:szCs w:val="24"/>
        </w:rPr>
        <w:t>, die de contacten onderhoudt met de pers, het publiek, het zakenleven, en andere organisaties</w:t>
      </w:r>
      <w:r>
        <w:rPr>
          <w:sz w:val="24"/>
          <w:szCs w:val="24"/>
        </w:rPr>
        <w:t xml:space="preserve">; </w:t>
      </w:r>
    </w:p>
    <w:p w14:paraId="7CCC3367" w14:textId="6F3F7F5D" w:rsidR="00D30036" w:rsidRDefault="007925BB" w:rsidP="007925BB">
      <w:pPr>
        <w:spacing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7C09">
        <w:rPr>
          <w:sz w:val="24"/>
          <w:szCs w:val="24"/>
        </w:rPr>
        <w:t>a</w:t>
      </w:r>
      <w:r w:rsidR="00D30036" w:rsidRPr="00976E01">
        <w:rPr>
          <w:i/>
          <w:sz w:val="24"/>
          <w:szCs w:val="24"/>
        </w:rPr>
        <w:t>ndere leden van het bestuur</w:t>
      </w:r>
      <w:r w:rsidR="00D30036" w:rsidRPr="00976E01">
        <w:rPr>
          <w:sz w:val="24"/>
          <w:szCs w:val="24"/>
        </w:rPr>
        <w:t xml:space="preserve"> </w:t>
      </w:r>
      <w:r w:rsidR="002E7961">
        <w:rPr>
          <w:sz w:val="24"/>
          <w:szCs w:val="24"/>
        </w:rPr>
        <w:t xml:space="preserve">die </w:t>
      </w:r>
      <w:r w:rsidR="00D30036" w:rsidRPr="00976E01">
        <w:rPr>
          <w:sz w:val="24"/>
          <w:szCs w:val="24"/>
        </w:rPr>
        <w:t>de kaartverkoop</w:t>
      </w:r>
      <w:r w:rsidR="002E7961">
        <w:rPr>
          <w:sz w:val="24"/>
          <w:szCs w:val="24"/>
        </w:rPr>
        <w:t xml:space="preserve"> regelen</w:t>
      </w:r>
      <w:r w:rsidR="00D30036" w:rsidRPr="00976E01">
        <w:rPr>
          <w:sz w:val="24"/>
          <w:szCs w:val="24"/>
        </w:rPr>
        <w:t xml:space="preserve">, de statistieken ervan, de actieve praktische organisatie bij een concert, zoals </w:t>
      </w:r>
      <w:r w:rsidR="00A27C09">
        <w:rPr>
          <w:sz w:val="24"/>
          <w:szCs w:val="24"/>
        </w:rPr>
        <w:t>onder meer</w:t>
      </w:r>
      <w:r w:rsidR="00D30036" w:rsidRPr="00976E01">
        <w:rPr>
          <w:sz w:val="24"/>
          <w:szCs w:val="24"/>
        </w:rPr>
        <w:t xml:space="preserve"> </w:t>
      </w:r>
      <w:r w:rsidR="00A27C09">
        <w:rPr>
          <w:sz w:val="24"/>
          <w:szCs w:val="24"/>
        </w:rPr>
        <w:t xml:space="preserve">het </w:t>
      </w:r>
      <w:r w:rsidR="00A27C09" w:rsidRPr="00976E01">
        <w:rPr>
          <w:sz w:val="24"/>
          <w:szCs w:val="24"/>
        </w:rPr>
        <w:t xml:space="preserve">contact met het kerkbestuur, </w:t>
      </w:r>
      <w:r w:rsidR="00D30036" w:rsidRPr="00976E01">
        <w:rPr>
          <w:sz w:val="24"/>
          <w:szCs w:val="24"/>
        </w:rPr>
        <w:t xml:space="preserve">het coördineren van </w:t>
      </w:r>
      <w:r w:rsidR="00A27C09">
        <w:rPr>
          <w:sz w:val="24"/>
          <w:szCs w:val="24"/>
        </w:rPr>
        <w:t xml:space="preserve">het </w:t>
      </w:r>
      <w:r w:rsidR="00D30036" w:rsidRPr="00976E01">
        <w:rPr>
          <w:sz w:val="24"/>
          <w:szCs w:val="24"/>
        </w:rPr>
        <w:t>stemmen van de vleugel, het regelen van bloemen</w:t>
      </w:r>
      <w:r w:rsidR="00A27C09">
        <w:rPr>
          <w:sz w:val="24"/>
          <w:szCs w:val="24"/>
        </w:rPr>
        <w:t>, geluid en verlichting tijdens de concerten.</w:t>
      </w:r>
    </w:p>
    <w:p w14:paraId="036CD1C9" w14:textId="77777777" w:rsidR="00A27C09" w:rsidRPr="00976E01" w:rsidRDefault="00A27C09" w:rsidP="007925BB">
      <w:pPr>
        <w:spacing w:line="240" w:lineRule="auto"/>
        <w:ind w:left="142" w:hanging="142"/>
        <w:rPr>
          <w:sz w:val="24"/>
          <w:szCs w:val="24"/>
        </w:rPr>
      </w:pPr>
    </w:p>
    <w:p w14:paraId="78893C86" w14:textId="7B75EF8B" w:rsidR="00D30036" w:rsidRPr="00976E01" w:rsidRDefault="00D30036" w:rsidP="00D30036">
      <w:pPr>
        <w:spacing w:line="240" w:lineRule="auto"/>
        <w:rPr>
          <w:sz w:val="24"/>
          <w:szCs w:val="24"/>
        </w:rPr>
      </w:pPr>
      <w:r w:rsidRPr="007952CB">
        <w:rPr>
          <w:i/>
          <w:sz w:val="24"/>
          <w:szCs w:val="24"/>
        </w:rPr>
        <w:t xml:space="preserve">De voorzitter </w:t>
      </w:r>
      <w:r w:rsidR="00934579">
        <w:rPr>
          <w:iCs/>
          <w:sz w:val="24"/>
          <w:szCs w:val="24"/>
        </w:rPr>
        <w:t xml:space="preserve">vertegenwoordigt CSN in </w:t>
      </w:r>
      <w:r w:rsidR="0088044B">
        <w:rPr>
          <w:sz w:val="24"/>
          <w:szCs w:val="24"/>
        </w:rPr>
        <w:t>De Kop</w:t>
      </w:r>
      <w:r w:rsidR="00934579">
        <w:rPr>
          <w:sz w:val="24"/>
          <w:szCs w:val="24"/>
        </w:rPr>
        <w:t xml:space="preserve"> en </w:t>
      </w:r>
      <w:r w:rsidRPr="00976E01">
        <w:rPr>
          <w:sz w:val="24"/>
          <w:szCs w:val="24"/>
        </w:rPr>
        <w:t>onderhoudt de contacten met andere organisaties en gemeente.</w:t>
      </w:r>
    </w:p>
    <w:p w14:paraId="43E3C8AE" w14:textId="5EC43331" w:rsidR="00D30036" w:rsidRPr="00976E01" w:rsidRDefault="00D30036" w:rsidP="00D30036">
      <w:pPr>
        <w:spacing w:line="240" w:lineRule="auto"/>
        <w:rPr>
          <w:sz w:val="24"/>
          <w:szCs w:val="24"/>
        </w:rPr>
      </w:pPr>
      <w:r w:rsidRPr="00976E01">
        <w:rPr>
          <w:i/>
          <w:sz w:val="24"/>
          <w:szCs w:val="24"/>
        </w:rPr>
        <w:t xml:space="preserve">De </w:t>
      </w:r>
      <w:r w:rsidR="00A27C09">
        <w:rPr>
          <w:i/>
          <w:sz w:val="24"/>
          <w:szCs w:val="24"/>
        </w:rPr>
        <w:t>P</w:t>
      </w:r>
      <w:r w:rsidRPr="00976E01">
        <w:rPr>
          <w:i/>
          <w:sz w:val="24"/>
          <w:szCs w:val="24"/>
        </w:rPr>
        <w:t>rogrammacommissie</w:t>
      </w:r>
      <w:r w:rsidRPr="00976E01">
        <w:rPr>
          <w:sz w:val="24"/>
          <w:szCs w:val="24"/>
        </w:rPr>
        <w:t xml:space="preserve"> regelt ook voor de vier podia van </w:t>
      </w:r>
      <w:r w:rsidR="00A27C09" w:rsidRPr="00A27C09">
        <w:rPr>
          <w:sz w:val="24"/>
          <w:szCs w:val="24"/>
        </w:rPr>
        <w:t>De Kop</w:t>
      </w:r>
      <w:r w:rsidR="00A27C09">
        <w:rPr>
          <w:sz w:val="24"/>
          <w:szCs w:val="24"/>
        </w:rPr>
        <w:t xml:space="preserve"> </w:t>
      </w:r>
      <w:r w:rsidRPr="00976E01">
        <w:rPr>
          <w:sz w:val="24"/>
          <w:szCs w:val="24"/>
        </w:rPr>
        <w:t>de coördinatie van alle concerten.</w:t>
      </w:r>
    </w:p>
    <w:p w14:paraId="1496998C" w14:textId="4D0E9B70" w:rsidR="00D30036" w:rsidRPr="00976E01" w:rsidRDefault="00D30036" w:rsidP="00D30036">
      <w:pPr>
        <w:spacing w:line="240" w:lineRule="auto"/>
        <w:rPr>
          <w:sz w:val="24"/>
          <w:szCs w:val="24"/>
        </w:rPr>
      </w:pPr>
      <w:r w:rsidRPr="00976E01">
        <w:rPr>
          <w:i/>
          <w:sz w:val="24"/>
          <w:szCs w:val="24"/>
        </w:rPr>
        <w:t>De secretaris</w:t>
      </w:r>
      <w:r w:rsidRPr="00976E01">
        <w:rPr>
          <w:sz w:val="24"/>
          <w:szCs w:val="24"/>
        </w:rPr>
        <w:t xml:space="preserve"> is</w:t>
      </w:r>
      <w:r w:rsidR="00A27C09">
        <w:rPr>
          <w:sz w:val="24"/>
          <w:szCs w:val="24"/>
        </w:rPr>
        <w:t>,</w:t>
      </w:r>
      <w:r w:rsidRPr="00976E01">
        <w:rPr>
          <w:sz w:val="24"/>
          <w:szCs w:val="24"/>
        </w:rPr>
        <w:t xml:space="preserve"> naast het gebruikelijk</w:t>
      </w:r>
      <w:r w:rsidR="002D012D">
        <w:rPr>
          <w:sz w:val="24"/>
          <w:szCs w:val="24"/>
        </w:rPr>
        <w:t>e</w:t>
      </w:r>
      <w:r w:rsidRPr="00976E01">
        <w:rPr>
          <w:sz w:val="24"/>
          <w:szCs w:val="24"/>
        </w:rPr>
        <w:t xml:space="preserve"> werk</w:t>
      </w:r>
      <w:r w:rsidR="00A27C09">
        <w:rPr>
          <w:sz w:val="24"/>
          <w:szCs w:val="24"/>
        </w:rPr>
        <w:t>,</w:t>
      </w:r>
      <w:r w:rsidRPr="00976E01">
        <w:rPr>
          <w:sz w:val="24"/>
          <w:szCs w:val="24"/>
        </w:rPr>
        <w:t xml:space="preserve"> actief in het opstellen en organiseren van het drukwerk, </w:t>
      </w:r>
      <w:r w:rsidR="00934579">
        <w:rPr>
          <w:sz w:val="24"/>
          <w:szCs w:val="24"/>
        </w:rPr>
        <w:t>affiches</w:t>
      </w:r>
      <w:r w:rsidR="007952CB">
        <w:rPr>
          <w:sz w:val="24"/>
          <w:szCs w:val="24"/>
        </w:rPr>
        <w:t xml:space="preserve"> </w:t>
      </w:r>
      <w:r w:rsidRPr="00976E01">
        <w:rPr>
          <w:sz w:val="24"/>
          <w:szCs w:val="24"/>
        </w:rPr>
        <w:t>en onderhoud van de website.</w:t>
      </w:r>
    </w:p>
    <w:p w14:paraId="708D5DA2" w14:textId="2B95CD74" w:rsidR="00D30036" w:rsidRPr="00976E01" w:rsidRDefault="00D30036" w:rsidP="00D30036">
      <w:pPr>
        <w:spacing w:line="240" w:lineRule="auto"/>
        <w:rPr>
          <w:sz w:val="24"/>
          <w:szCs w:val="24"/>
        </w:rPr>
      </w:pPr>
      <w:r w:rsidRPr="00976E01">
        <w:rPr>
          <w:sz w:val="24"/>
          <w:szCs w:val="24"/>
        </w:rPr>
        <w:t xml:space="preserve">Voorts zijn buiten het bestuur </w:t>
      </w:r>
      <w:r w:rsidR="007952CB">
        <w:rPr>
          <w:sz w:val="24"/>
          <w:szCs w:val="24"/>
        </w:rPr>
        <w:t xml:space="preserve">om </w:t>
      </w:r>
      <w:r w:rsidR="00934579">
        <w:rPr>
          <w:sz w:val="24"/>
          <w:szCs w:val="24"/>
        </w:rPr>
        <w:t xml:space="preserve">verschillende </w:t>
      </w:r>
      <w:r w:rsidRPr="00976E01">
        <w:rPr>
          <w:sz w:val="24"/>
          <w:szCs w:val="24"/>
        </w:rPr>
        <w:t xml:space="preserve">mensen actief om het bestuur in praktische zaken te ondersteunen. </w:t>
      </w:r>
    </w:p>
    <w:p w14:paraId="5C20C2E5" w14:textId="77777777" w:rsidR="00A27C09" w:rsidRDefault="00A27C09" w:rsidP="00D30036">
      <w:pPr>
        <w:spacing w:line="240" w:lineRule="auto"/>
        <w:rPr>
          <w:sz w:val="24"/>
          <w:szCs w:val="24"/>
        </w:rPr>
      </w:pPr>
    </w:p>
    <w:p w14:paraId="516A19AE" w14:textId="77777777" w:rsidR="007F344F" w:rsidRPr="00976E01" w:rsidRDefault="007F344F" w:rsidP="00D30036">
      <w:pPr>
        <w:spacing w:line="240" w:lineRule="auto"/>
        <w:rPr>
          <w:sz w:val="24"/>
          <w:szCs w:val="24"/>
        </w:rPr>
      </w:pPr>
    </w:p>
    <w:p w14:paraId="356226FD" w14:textId="4D3DC690" w:rsidR="00D30036" w:rsidRPr="00976E01" w:rsidRDefault="00D30036" w:rsidP="00D30036">
      <w:pPr>
        <w:spacing w:line="240" w:lineRule="auto"/>
        <w:rPr>
          <w:b/>
          <w:sz w:val="24"/>
          <w:szCs w:val="24"/>
        </w:rPr>
      </w:pPr>
      <w:r w:rsidRPr="00976E01">
        <w:rPr>
          <w:b/>
          <w:sz w:val="24"/>
          <w:szCs w:val="24"/>
        </w:rPr>
        <w:t xml:space="preserve">Hoe komt de CSN aan middelen en hoe wordt </w:t>
      </w:r>
      <w:r w:rsidR="00A27C09">
        <w:rPr>
          <w:b/>
          <w:sz w:val="24"/>
          <w:szCs w:val="24"/>
        </w:rPr>
        <w:t>dit</w:t>
      </w:r>
      <w:r w:rsidRPr="00976E01">
        <w:rPr>
          <w:b/>
          <w:sz w:val="24"/>
          <w:szCs w:val="24"/>
        </w:rPr>
        <w:t xml:space="preserve"> beheerd?</w:t>
      </w:r>
    </w:p>
    <w:p w14:paraId="3D3D605B" w14:textId="55F75E66" w:rsidR="00D30036" w:rsidRPr="00976E01" w:rsidRDefault="00D30036" w:rsidP="00D30036">
      <w:pPr>
        <w:spacing w:line="240" w:lineRule="auto"/>
        <w:rPr>
          <w:sz w:val="24"/>
          <w:szCs w:val="24"/>
        </w:rPr>
      </w:pPr>
      <w:r w:rsidRPr="00976E01">
        <w:rPr>
          <w:sz w:val="24"/>
          <w:szCs w:val="24"/>
        </w:rPr>
        <w:t xml:space="preserve">Eenmalig (december 2004) heeft de CSN een </w:t>
      </w:r>
      <w:r w:rsidRPr="002D3145">
        <w:rPr>
          <w:sz w:val="24"/>
          <w:szCs w:val="24"/>
        </w:rPr>
        <w:t>erfenis</w:t>
      </w:r>
      <w:r w:rsidRPr="00976E01">
        <w:rPr>
          <w:sz w:val="24"/>
          <w:szCs w:val="24"/>
        </w:rPr>
        <w:t xml:space="preserve"> gehad. De reserve van de CSN is nog steeds door zorgvuldig en voorzichtig financieel beleid hiervan de basis.</w:t>
      </w:r>
    </w:p>
    <w:p w14:paraId="76A6643D" w14:textId="115DBDDA" w:rsidR="00D30036" w:rsidRPr="00976E01" w:rsidRDefault="00D30036" w:rsidP="00D30036">
      <w:pPr>
        <w:spacing w:line="240" w:lineRule="auto"/>
        <w:rPr>
          <w:sz w:val="24"/>
          <w:szCs w:val="24"/>
        </w:rPr>
      </w:pPr>
      <w:r w:rsidRPr="00976E01">
        <w:rPr>
          <w:sz w:val="24"/>
          <w:szCs w:val="24"/>
        </w:rPr>
        <w:t xml:space="preserve">De reserve is </w:t>
      </w:r>
      <w:r w:rsidRPr="002D3145">
        <w:rPr>
          <w:sz w:val="24"/>
          <w:szCs w:val="24"/>
        </w:rPr>
        <w:t xml:space="preserve">veilig (risicoloos) </w:t>
      </w:r>
      <w:r w:rsidR="002D3145">
        <w:rPr>
          <w:sz w:val="24"/>
          <w:szCs w:val="24"/>
        </w:rPr>
        <w:t>ondergebracht</w:t>
      </w:r>
      <w:r w:rsidRPr="002D3145">
        <w:rPr>
          <w:sz w:val="24"/>
          <w:szCs w:val="24"/>
        </w:rPr>
        <w:t xml:space="preserve"> bij</w:t>
      </w:r>
      <w:r w:rsidRPr="00976E01">
        <w:rPr>
          <w:sz w:val="24"/>
          <w:szCs w:val="24"/>
        </w:rPr>
        <w:t xml:space="preserve"> </w:t>
      </w:r>
      <w:r w:rsidR="00A27C09">
        <w:rPr>
          <w:sz w:val="24"/>
          <w:szCs w:val="24"/>
        </w:rPr>
        <w:t xml:space="preserve">de </w:t>
      </w:r>
      <w:r w:rsidRPr="00976E01">
        <w:rPr>
          <w:sz w:val="24"/>
          <w:szCs w:val="24"/>
        </w:rPr>
        <w:t>SNS</w:t>
      </w:r>
      <w:r w:rsidR="00A27C09">
        <w:rPr>
          <w:sz w:val="24"/>
          <w:szCs w:val="24"/>
        </w:rPr>
        <w:t xml:space="preserve"> Bank</w:t>
      </w:r>
      <w:r w:rsidRPr="00976E01">
        <w:rPr>
          <w:sz w:val="24"/>
          <w:szCs w:val="24"/>
        </w:rPr>
        <w:t xml:space="preserve">. </w:t>
      </w:r>
      <w:r w:rsidR="00934579" w:rsidRPr="00976E01">
        <w:rPr>
          <w:sz w:val="24"/>
          <w:szCs w:val="24"/>
        </w:rPr>
        <w:t>Het bestuur van de CSN neemt geen beleggingsrisico's.</w:t>
      </w:r>
    </w:p>
    <w:p w14:paraId="6860688D" w14:textId="138DC0AF" w:rsidR="00D30036" w:rsidRPr="00976E01" w:rsidRDefault="00D30036" w:rsidP="00D30036">
      <w:pPr>
        <w:spacing w:line="240" w:lineRule="auto"/>
        <w:rPr>
          <w:sz w:val="24"/>
          <w:szCs w:val="24"/>
        </w:rPr>
      </w:pPr>
      <w:r w:rsidRPr="00976E01">
        <w:rPr>
          <w:sz w:val="24"/>
          <w:szCs w:val="24"/>
        </w:rPr>
        <w:t xml:space="preserve">De CSN probeert via de </w:t>
      </w:r>
      <w:r w:rsidR="00934579">
        <w:rPr>
          <w:sz w:val="24"/>
          <w:szCs w:val="24"/>
        </w:rPr>
        <w:t xml:space="preserve">inzet van alle </w:t>
      </w:r>
      <w:r w:rsidRPr="00976E01">
        <w:rPr>
          <w:sz w:val="24"/>
          <w:szCs w:val="24"/>
        </w:rPr>
        <w:t xml:space="preserve">media zoveel mogelijk </w:t>
      </w:r>
      <w:r w:rsidRPr="00AE7813">
        <w:rPr>
          <w:sz w:val="24"/>
          <w:szCs w:val="24"/>
        </w:rPr>
        <w:t>kaarten</w:t>
      </w:r>
      <w:r w:rsidRPr="00976E01">
        <w:rPr>
          <w:sz w:val="24"/>
          <w:szCs w:val="24"/>
        </w:rPr>
        <w:t xml:space="preserve"> te verkopen. Daarnaast wordt jaarlijks een sponsorverzoek gezonden aan veel bedrijven in de regio, met het argument dat ook indirect hun bedrijf baat heeft bij een prettige woonomgeving.</w:t>
      </w:r>
    </w:p>
    <w:p w14:paraId="5597D4BE" w14:textId="0FDFD62D" w:rsidR="00D30036" w:rsidRPr="00976E01" w:rsidRDefault="00D30036" w:rsidP="00D30036">
      <w:pPr>
        <w:spacing w:line="240" w:lineRule="auto"/>
        <w:rPr>
          <w:sz w:val="24"/>
          <w:szCs w:val="24"/>
        </w:rPr>
      </w:pPr>
      <w:r w:rsidRPr="00976E01">
        <w:rPr>
          <w:sz w:val="24"/>
          <w:szCs w:val="24"/>
        </w:rPr>
        <w:t xml:space="preserve">Ook de particulier wordt regelmatig gevraagd </w:t>
      </w:r>
      <w:r w:rsidR="005D2F9A">
        <w:rPr>
          <w:sz w:val="24"/>
          <w:szCs w:val="24"/>
        </w:rPr>
        <w:t xml:space="preserve">om </w:t>
      </w:r>
      <w:r w:rsidRPr="00976E01">
        <w:rPr>
          <w:sz w:val="24"/>
          <w:szCs w:val="24"/>
        </w:rPr>
        <w:t xml:space="preserve">een vrijwillige bijdrage. </w:t>
      </w:r>
    </w:p>
    <w:p w14:paraId="16D922A3" w14:textId="3F6AEEFC" w:rsidR="00D30036" w:rsidRPr="00976E01" w:rsidRDefault="00D30036" w:rsidP="00D30036">
      <w:pPr>
        <w:spacing w:line="240" w:lineRule="auto"/>
        <w:rPr>
          <w:sz w:val="24"/>
          <w:szCs w:val="24"/>
        </w:rPr>
      </w:pPr>
      <w:r w:rsidRPr="00976E01">
        <w:rPr>
          <w:sz w:val="24"/>
          <w:szCs w:val="24"/>
        </w:rPr>
        <w:t xml:space="preserve">De CSN zal in eerste instantie alle kosten voor de organisatie voldoen uit de opbrengsten van de </w:t>
      </w:r>
      <w:r w:rsidR="005D2F9A">
        <w:rPr>
          <w:sz w:val="24"/>
          <w:szCs w:val="24"/>
        </w:rPr>
        <w:t>kaartverkoop</w:t>
      </w:r>
      <w:r w:rsidRPr="00976E01">
        <w:rPr>
          <w:sz w:val="24"/>
          <w:szCs w:val="24"/>
        </w:rPr>
        <w:t xml:space="preserve">, </w:t>
      </w:r>
      <w:r w:rsidR="005D2F9A" w:rsidRPr="00976E01">
        <w:rPr>
          <w:sz w:val="24"/>
          <w:szCs w:val="24"/>
        </w:rPr>
        <w:t xml:space="preserve">sponsors </w:t>
      </w:r>
      <w:r w:rsidR="005D2F9A">
        <w:rPr>
          <w:sz w:val="24"/>
          <w:szCs w:val="24"/>
        </w:rPr>
        <w:t xml:space="preserve">en </w:t>
      </w:r>
      <w:r w:rsidRPr="00976E01">
        <w:rPr>
          <w:sz w:val="24"/>
          <w:szCs w:val="24"/>
        </w:rPr>
        <w:t>giften. Alleen indien dit te kort schiet wordt een beroep gedaan op het reservevermogen.</w:t>
      </w:r>
      <w:r w:rsidR="00587C33">
        <w:rPr>
          <w:sz w:val="24"/>
          <w:szCs w:val="24"/>
        </w:rPr>
        <w:t xml:space="preserve"> </w:t>
      </w:r>
      <w:r w:rsidRPr="00976E01">
        <w:rPr>
          <w:sz w:val="24"/>
          <w:szCs w:val="24"/>
        </w:rPr>
        <w:t>De laatste jaren is dat</w:t>
      </w:r>
      <w:r w:rsidR="00587C33">
        <w:rPr>
          <w:sz w:val="24"/>
          <w:szCs w:val="24"/>
        </w:rPr>
        <w:t>,</w:t>
      </w:r>
      <w:r w:rsidRPr="00976E01">
        <w:rPr>
          <w:sz w:val="24"/>
          <w:szCs w:val="24"/>
        </w:rPr>
        <w:t xml:space="preserve"> mede door de zeer lage (zelfs geen) rente</w:t>
      </w:r>
      <w:r w:rsidR="00587C33">
        <w:rPr>
          <w:sz w:val="24"/>
          <w:szCs w:val="24"/>
        </w:rPr>
        <w:t>,</w:t>
      </w:r>
      <w:r w:rsidRPr="00976E01">
        <w:rPr>
          <w:sz w:val="24"/>
          <w:szCs w:val="24"/>
        </w:rPr>
        <w:t xml:space="preserve"> helaas noodzakelijk geweest.</w:t>
      </w:r>
    </w:p>
    <w:p w14:paraId="31DE3BD8" w14:textId="35AA9A45" w:rsidR="00FF750A" w:rsidRDefault="00FF750A" w:rsidP="00D30036">
      <w:pPr>
        <w:spacing w:line="240" w:lineRule="auto"/>
        <w:rPr>
          <w:sz w:val="24"/>
          <w:szCs w:val="24"/>
        </w:rPr>
      </w:pPr>
    </w:p>
    <w:p w14:paraId="26ADA3B3" w14:textId="77777777" w:rsidR="007F344F" w:rsidRDefault="007F344F" w:rsidP="00D30036">
      <w:pPr>
        <w:spacing w:line="240" w:lineRule="auto"/>
        <w:rPr>
          <w:sz w:val="24"/>
          <w:szCs w:val="24"/>
        </w:rPr>
      </w:pPr>
    </w:p>
    <w:p w14:paraId="616C43ED" w14:textId="5F83AC45" w:rsidR="00FF750A" w:rsidRPr="00976E01" w:rsidRDefault="00FF750A" w:rsidP="00FF750A">
      <w:pPr>
        <w:spacing w:line="240" w:lineRule="auto"/>
        <w:rPr>
          <w:sz w:val="24"/>
          <w:szCs w:val="24"/>
        </w:rPr>
      </w:pPr>
      <w:r w:rsidRPr="00976E01">
        <w:rPr>
          <w:b/>
          <w:sz w:val="24"/>
          <w:szCs w:val="24"/>
        </w:rPr>
        <w:t xml:space="preserve">Kort verslag activiteiten van </w:t>
      </w:r>
      <w:r w:rsidR="007F344F">
        <w:rPr>
          <w:b/>
          <w:sz w:val="24"/>
          <w:szCs w:val="24"/>
        </w:rPr>
        <w:t xml:space="preserve">het </w:t>
      </w:r>
      <w:r w:rsidRPr="00976E01">
        <w:rPr>
          <w:b/>
          <w:sz w:val="24"/>
          <w:szCs w:val="24"/>
        </w:rPr>
        <w:t>afgelopen seizoen (</w:t>
      </w:r>
      <w:r>
        <w:rPr>
          <w:b/>
          <w:sz w:val="24"/>
          <w:szCs w:val="24"/>
        </w:rPr>
        <w:t>202</w:t>
      </w:r>
      <w:r w:rsidR="005D2F9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</w:t>
      </w:r>
      <w:r w:rsidR="005D2F9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02</w:t>
      </w:r>
      <w:r w:rsidR="005D2F9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)</w:t>
      </w:r>
      <w:r w:rsidRPr="00976E01">
        <w:rPr>
          <w:b/>
          <w:sz w:val="24"/>
          <w:szCs w:val="24"/>
        </w:rPr>
        <w:t xml:space="preserve"> </w:t>
      </w:r>
    </w:p>
    <w:p w14:paraId="1176B4F1" w14:textId="584B9676" w:rsidR="00FF750A" w:rsidRDefault="00FF750A" w:rsidP="00FF75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Voor </w:t>
      </w:r>
      <w:r w:rsidR="00FA45E2">
        <w:rPr>
          <w:sz w:val="24"/>
          <w:szCs w:val="24"/>
        </w:rPr>
        <w:t>dit</w:t>
      </w:r>
      <w:r>
        <w:rPr>
          <w:sz w:val="24"/>
          <w:szCs w:val="24"/>
        </w:rPr>
        <w:t xml:space="preserve"> seizoen </w:t>
      </w:r>
      <w:r w:rsidR="00B60F94">
        <w:rPr>
          <w:sz w:val="24"/>
          <w:szCs w:val="24"/>
        </w:rPr>
        <w:t>werden</w:t>
      </w:r>
      <w:r>
        <w:rPr>
          <w:sz w:val="24"/>
          <w:szCs w:val="24"/>
        </w:rPr>
        <w:t xml:space="preserve"> zeven concerten geprogrammeerd. </w:t>
      </w:r>
    </w:p>
    <w:p w14:paraId="12082CDD" w14:textId="77777777" w:rsidR="00FF750A" w:rsidRDefault="00FF750A" w:rsidP="00FF750A">
      <w:pPr>
        <w:spacing w:line="240" w:lineRule="auto"/>
        <w:rPr>
          <w:sz w:val="24"/>
          <w:szCs w:val="24"/>
        </w:rPr>
      </w:pPr>
    </w:p>
    <w:p w14:paraId="5EADCD4F" w14:textId="36351C07" w:rsidR="00FF750A" w:rsidRDefault="00FF750A" w:rsidP="00FF75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Ook in dit </w:t>
      </w:r>
      <w:r w:rsidRPr="00976E01">
        <w:rPr>
          <w:sz w:val="24"/>
          <w:szCs w:val="24"/>
        </w:rPr>
        <w:t>seizoen</w:t>
      </w:r>
      <w:r>
        <w:rPr>
          <w:sz w:val="24"/>
          <w:szCs w:val="24"/>
        </w:rPr>
        <w:t xml:space="preserve"> hebben</w:t>
      </w:r>
      <w:r w:rsidRPr="00976E01">
        <w:rPr>
          <w:sz w:val="24"/>
          <w:szCs w:val="24"/>
        </w:rPr>
        <w:t xml:space="preserve"> mensen uit d</w:t>
      </w:r>
      <w:r>
        <w:rPr>
          <w:sz w:val="24"/>
          <w:szCs w:val="24"/>
        </w:rPr>
        <w:t>e</w:t>
      </w:r>
      <w:r w:rsidRPr="00976E01">
        <w:rPr>
          <w:sz w:val="24"/>
          <w:szCs w:val="24"/>
        </w:rPr>
        <w:t xml:space="preserve"> doelgroep </w:t>
      </w:r>
      <w:r>
        <w:rPr>
          <w:sz w:val="24"/>
          <w:szCs w:val="24"/>
        </w:rPr>
        <w:t xml:space="preserve">van de Stichting Nieuwe Buren Niedorp </w:t>
      </w:r>
      <w:r w:rsidRPr="00976E01">
        <w:rPr>
          <w:sz w:val="24"/>
          <w:szCs w:val="24"/>
        </w:rPr>
        <w:t xml:space="preserve">en van de voedselbank </w:t>
      </w:r>
      <w:r>
        <w:rPr>
          <w:sz w:val="24"/>
          <w:szCs w:val="24"/>
        </w:rPr>
        <w:t>(</w:t>
      </w:r>
      <w:r w:rsidRPr="00976E01">
        <w:rPr>
          <w:sz w:val="24"/>
          <w:szCs w:val="24"/>
        </w:rPr>
        <w:t>heel discreet</w:t>
      </w:r>
      <w:r>
        <w:rPr>
          <w:sz w:val="24"/>
          <w:szCs w:val="24"/>
        </w:rPr>
        <w:t xml:space="preserve">) gratis een concert kunnen bijwonen, inclusief gratis consumptie. </w:t>
      </w:r>
    </w:p>
    <w:p w14:paraId="16FC89D9" w14:textId="5FC3DAF7" w:rsidR="00D30036" w:rsidRDefault="00D30036" w:rsidP="00D30036">
      <w:pPr>
        <w:spacing w:line="240" w:lineRule="auto"/>
        <w:rPr>
          <w:sz w:val="24"/>
          <w:szCs w:val="24"/>
        </w:rPr>
      </w:pPr>
    </w:p>
    <w:p w14:paraId="3AA06630" w14:textId="3C976CEB" w:rsidR="00387327" w:rsidRDefault="00D30036" w:rsidP="00D30036">
      <w:pPr>
        <w:spacing w:line="240" w:lineRule="auto"/>
        <w:rPr>
          <w:sz w:val="24"/>
          <w:szCs w:val="24"/>
        </w:rPr>
      </w:pPr>
      <w:r w:rsidRPr="00976E01">
        <w:rPr>
          <w:sz w:val="24"/>
          <w:szCs w:val="24"/>
        </w:rPr>
        <w:t xml:space="preserve">Samen met de kerkgemeenschap </w:t>
      </w:r>
      <w:r w:rsidR="003B0C87">
        <w:rPr>
          <w:sz w:val="24"/>
          <w:szCs w:val="24"/>
        </w:rPr>
        <w:t>van de Lucaskerk</w:t>
      </w:r>
      <w:r w:rsidR="00387327">
        <w:rPr>
          <w:sz w:val="24"/>
          <w:szCs w:val="24"/>
        </w:rPr>
        <w:t xml:space="preserve"> </w:t>
      </w:r>
      <w:r w:rsidR="00FF750A">
        <w:rPr>
          <w:sz w:val="24"/>
          <w:szCs w:val="24"/>
        </w:rPr>
        <w:t>heeft</w:t>
      </w:r>
      <w:r w:rsidR="00387327">
        <w:rPr>
          <w:sz w:val="24"/>
          <w:szCs w:val="24"/>
        </w:rPr>
        <w:t xml:space="preserve"> de CSN </w:t>
      </w:r>
      <w:r w:rsidR="00FF750A">
        <w:rPr>
          <w:sz w:val="24"/>
          <w:szCs w:val="24"/>
        </w:rPr>
        <w:t xml:space="preserve">dit seizoen </w:t>
      </w:r>
      <w:r w:rsidRPr="00976E01">
        <w:rPr>
          <w:sz w:val="24"/>
          <w:szCs w:val="24"/>
        </w:rPr>
        <w:t xml:space="preserve">tijdens het evenement </w:t>
      </w:r>
      <w:r w:rsidRPr="00387327">
        <w:rPr>
          <w:i/>
          <w:iCs/>
          <w:sz w:val="24"/>
          <w:szCs w:val="24"/>
        </w:rPr>
        <w:t>Nazomeren</w:t>
      </w:r>
      <w:r w:rsidR="003B0C87" w:rsidRPr="00387327">
        <w:rPr>
          <w:i/>
          <w:iCs/>
          <w:sz w:val="24"/>
          <w:szCs w:val="24"/>
        </w:rPr>
        <w:t xml:space="preserve"> in Niedorp</w:t>
      </w:r>
      <w:r w:rsidR="00387327">
        <w:rPr>
          <w:sz w:val="24"/>
          <w:szCs w:val="24"/>
        </w:rPr>
        <w:t xml:space="preserve"> </w:t>
      </w:r>
      <w:r w:rsidR="00FF750A">
        <w:rPr>
          <w:sz w:val="24"/>
          <w:szCs w:val="24"/>
        </w:rPr>
        <w:t xml:space="preserve">weer </w:t>
      </w:r>
      <w:r w:rsidR="003B0C87" w:rsidRPr="00976E01">
        <w:rPr>
          <w:sz w:val="24"/>
          <w:szCs w:val="24"/>
        </w:rPr>
        <w:t xml:space="preserve">haar programma </w:t>
      </w:r>
      <w:r w:rsidR="00387327">
        <w:rPr>
          <w:sz w:val="24"/>
          <w:szCs w:val="24"/>
        </w:rPr>
        <w:t xml:space="preserve">voor het seizoen </w:t>
      </w:r>
      <w:r w:rsidR="00FF750A">
        <w:rPr>
          <w:sz w:val="24"/>
          <w:szCs w:val="24"/>
        </w:rPr>
        <w:t>202</w:t>
      </w:r>
      <w:r w:rsidR="005D2F9A">
        <w:rPr>
          <w:sz w:val="24"/>
          <w:szCs w:val="24"/>
        </w:rPr>
        <w:t>2</w:t>
      </w:r>
      <w:r w:rsidR="00FF750A">
        <w:rPr>
          <w:sz w:val="24"/>
          <w:szCs w:val="24"/>
        </w:rPr>
        <w:t>-202</w:t>
      </w:r>
      <w:r w:rsidR="005D2F9A">
        <w:rPr>
          <w:sz w:val="24"/>
          <w:szCs w:val="24"/>
        </w:rPr>
        <w:t>3</w:t>
      </w:r>
      <w:r w:rsidR="00FF750A">
        <w:rPr>
          <w:sz w:val="24"/>
          <w:szCs w:val="24"/>
        </w:rPr>
        <w:t xml:space="preserve"> kunnen</w:t>
      </w:r>
      <w:r w:rsidR="00387327">
        <w:rPr>
          <w:sz w:val="24"/>
          <w:szCs w:val="24"/>
        </w:rPr>
        <w:t xml:space="preserve"> </w:t>
      </w:r>
      <w:r w:rsidR="003B0C87" w:rsidRPr="00976E01">
        <w:rPr>
          <w:sz w:val="24"/>
          <w:szCs w:val="24"/>
        </w:rPr>
        <w:t>presenteren</w:t>
      </w:r>
      <w:r w:rsidR="00387327">
        <w:rPr>
          <w:sz w:val="24"/>
          <w:szCs w:val="24"/>
        </w:rPr>
        <w:t>. Ook</w:t>
      </w:r>
      <w:r w:rsidR="00FF750A">
        <w:rPr>
          <w:sz w:val="24"/>
          <w:szCs w:val="24"/>
        </w:rPr>
        <w:t xml:space="preserve"> op </w:t>
      </w:r>
      <w:r w:rsidR="00387327">
        <w:rPr>
          <w:sz w:val="24"/>
          <w:szCs w:val="24"/>
        </w:rPr>
        <w:t>andere belangrijke evenementen</w:t>
      </w:r>
      <w:r w:rsidR="00FF750A">
        <w:rPr>
          <w:sz w:val="24"/>
          <w:szCs w:val="24"/>
        </w:rPr>
        <w:t xml:space="preserve">, </w:t>
      </w:r>
      <w:r w:rsidR="00387327">
        <w:rPr>
          <w:sz w:val="24"/>
          <w:szCs w:val="24"/>
        </w:rPr>
        <w:t xml:space="preserve"> </w:t>
      </w:r>
      <w:r w:rsidR="00FF750A">
        <w:rPr>
          <w:sz w:val="24"/>
          <w:szCs w:val="24"/>
        </w:rPr>
        <w:t xml:space="preserve">zoals de </w:t>
      </w:r>
      <w:r w:rsidR="00FF750A" w:rsidRPr="00387327">
        <w:rPr>
          <w:i/>
          <w:iCs/>
          <w:sz w:val="24"/>
          <w:szCs w:val="24"/>
        </w:rPr>
        <w:t>Floralia</w:t>
      </w:r>
      <w:r w:rsidR="00FF750A">
        <w:rPr>
          <w:sz w:val="24"/>
          <w:szCs w:val="24"/>
        </w:rPr>
        <w:t xml:space="preserve"> te Nieuwe Niedorp</w:t>
      </w:r>
      <w:r w:rsidR="007F344F">
        <w:rPr>
          <w:sz w:val="24"/>
          <w:szCs w:val="24"/>
        </w:rPr>
        <w:t xml:space="preserve"> en </w:t>
      </w:r>
      <w:r w:rsidR="00FF750A">
        <w:rPr>
          <w:sz w:val="24"/>
          <w:szCs w:val="24"/>
        </w:rPr>
        <w:t xml:space="preserve">het </w:t>
      </w:r>
      <w:r w:rsidR="00FF750A" w:rsidRPr="00387327">
        <w:rPr>
          <w:i/>
          <w:iCs/>
          <w:sz w:val="24"/>
          <w:szCs w:val="24"/>
        </w:rPr>
        <w:t>Bloemencorso</w:t>
      </w:r>
      <w:r w:rsidR="00FF750A">
        <w:rPr>
          <w:sz w:val="24"/>
          <w:szCs w:val="24"/>
        </w:rPr>
        <w:t xml:space="preserve"> te Winkel heeft</w:t>
      </w:r>
      <w:r w:rsidR="00387327">
        <w:rPr>
          <w:sz w:val="24"/>
          <w:szCs w:val="24"/>
        </w:rPr>
        <w:t xml:space="preserve"> de CSN haar programma</w:t>
      </w:r>
      <w:r w:rsidR="00CC0B3C">
        <w:rPr>
          <w:sz w:val="24"/>
          <w:szCs w:val="24"/>
        </w:rPr>
        <w:t xml:space="preserve"> weer kunnen presenteren.</w:t>
      </w:r>
      <w:r w:rsidR="00387327">
        <w:rPr>
          <w:sz w:val="24"/>
          <w:szCs w:val="24"/>
        </w:rPr>
        <w:t xml:space="preserve"> </w:t>
      </w:r>
    </w:p>
    <w:p w14:paraId="7B19F2EB" w14:textId="77777777" w:rsidR="005D2F9A" w:rsidRDefault="005D2F9A">
      <w:pPr>
        <w:spacing w:line="240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14:paraId="63003172" w14:textId="3E526C85" w:rsidR="003141EB" w:rsidRPr="003B0C87" w:rsidRDefault="003141EB" w:rsidP="00D30036">
      <w:pPr>
        <w:spacing w:line="240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Op</w:t>
      </w:r>
      <w:r w:rsidRPr="002D3145">
        <w:rPr>
          <w:spacing w:val="-2"/>
          <w:sz w:val="24"/>
          <w:szCs w:val="24"/>
        </w:rPr>
        <w:t xml:space="preserve"> </w:t>
      </w:r>
      <w:hyperlink r:id="rId11" w:history="1">
        <w:r w:rsidRPr="002D3145">
          <w:rPr>
            <w:rStyle w:val="Hyperlink"/>
            <w:color w:val="auto"/>
            <w:spacing w:val="-2"/>
            <w:sz w:val="24"/>
            <w:szCs w:val="24"/>
          </w:rPr>
          <w:t>www.culturelestichtingniedorp.nl</w:t>
        </w:r>
      </w:hyperlink>
      <w:r>
        <w:rPr>
          <w:spacing w:val="-2"/>
          <w:sz w:val="24"/>
          <w:szCs w:val="24"/>
        </w:rPr>
        <w:t xml:space="preserve"> onder het kopje ‘Programma’ vindt u de nieuwe concertagenda.</w:t>
      </w:r>
    </w:p>
    <w:p w14:paraId="0468E7E1" w14:textId="77777777" w:rsidR="00E929F1" w:rsidRDefault="00E929F1" w:rsidP="00D30036">
      <w:pPr>
        <w:spacing w:line="240" w:lineRule="auto"/>
        <w:rPr>
          <w:sz w:val="24"/>
          <w:szCs w:val="24"/>
        </w:rPr>
      </w:pPr>
    </w:p>
    <w:p w14:paraId="7B672F63" w14:textId="33C768A0" w:rsidR="00E929F1" w:rsidRDefault="00D30036" w:rsidP="00D30036">
      <w:pPr>
        <w:spacing w:line="240" w:lineRule="auto"/>
        <w:rPr>
          <w:sz w:val="24"/>
          <w:szCs w:val="24"/>
        </w:rPr>
      </w:pPr>
      <w:r w:rsidRPr="00976E01">
        <w:rPr>
          <w:sz w:val="24"/>
          <w:szCs w:val="24"/>
        </w:rPr>
        <w:t xml:space="preserve">In het seizoen </w:t>
      </w:r>
      <w:r w:rsidR="00CC0B3C">
        <w:rPr>
          <w:sz w:val="24"/>
          <w:szCs w:val="24"/>
        </w:rPr>
        <w:t>202</w:t>
      </w:r>
      <w:r w:rsidR="00B329B1">
        <w:rPr>
          <w:sz w:val="24"/>
          <w:szCs w:val="24"/>
        </w:rPr>
        <w:t>2</w:t>
      </w:r>
      <w:r w:rsidR="00CC0B3C">
        <w:rPr>
          <w:sz w:val="24"/>
          <w:szCs w:val="24"/>
        </w:rPr>
        <w:t>-202</w:t>
      </w:r>
      <w:r w:rsidR="00B329B1">
        <w:rPr>
          <w:sz w:val="24"/>
          <w:szCs w:val="24"/>
        </w:rPr>
        <w:t>3</w:t>
      </w:r>
      <w:r w:rsidRPr="00976E01">
        <w:rPr>
          <w:sz w:val="24"/>
          <w:szCs w:val="24"/>
        </w:rPr>
        <w:t xml:space="preserve"> waren de volgende concerten georganiseerd: </w:t>
      </w:r>
    </w:p>
    <w:p w14:paraId="0D5300D2" w14:textId="12C90D7C" w:rsidR="00B329B1" w:rsidRPr="00B329B1" w:rsidRDefault="00B329B1" w:rsidP="00B329B1">
      <w:pPr>
        <w:pStyle w:val="Lijstalinea"/>
        <w:numPr>
          <w:ilvl w:val="0"/>
          <w:numId w:val="3"/>
        </w:numPr>
        <w:ind w:left="567" w:hanging="218"/>
        <w:rPr>
          <w:rFonts w:asciiTheme="majorHAnsi" w:hAnsiTheme="majorHAnsi" w:cstheme="majorHAnsi"/>
          <w:sz w:val="24"/>
          <w:szCs w:val="24"/>
        </w:rPr>
      </w:pPr>
      <w:r w:rsidRPr="00B329B1">
        <w:rPr>
          <w:sz w:val="24"/>
          <w:szCs w:val="24"/>
        </w:rPr>
        <w:t>Nederlands Saxofoon Octet (</w:t>
      </w:r>
      <w:r w:rsidRPr="00B329B1">
        <w:rPr>
          <w:rFonts w:asciiTheme="majorHAnsi" w:hAnsiTheme="majorHAnsi" w:cstheme="majorHAnsi"/>
          <w:sz w:val="24"/>
          <w:szCs w:val="24"/>
        </w:rPr>
        <w:t>sopraan-, alt-, tenor- en baritonsaxofoon)</w:t>
      </w:r>
    </w:p>
    <w:p w14:paraId="44533C06" w14:textId="77777777" w:rsidR="00B329B1" w:rsidRPr="00B329B1" w:rsidRDefault="00B329B1" w:rsidP="00B329B1">
      <w:pPr>
        <w:pStyle w:val="Lijstalinea"/>
        <w:numPr>
          <w:ilvl w:val="0"/>
          <w:numId w:val="3"/>
        </w:numPr>
        <w:ind w:left="567" w:hanging="218"/>
        <w:rPr>
          <w:sz w:val="24"/>
          <w:szCs w:val="24"/>
        </w:rPr>
      </w:pPr>
      <w:r w:rsidRPr="00B329B1">
        <w:rPr>
          <w:sz w:val="24"/>
          <w:szCs w:val="24"/>
        </w:rPr>
        <w:t>Blue Grass Boogiemen ((Amerikaanse folk en swing)</w:t>
      </w:r>
    </w:p>
    <w:p w14:paraId="483293D0" w14:textId="77777777" w:rsidR="00B329B1" w:rsidRPr="00B329B1" w:rsidRDefault="00B329B1" w:rsidP="00B329B1">
      <w:pPr>
        <w:pStyle w:val="Lijstalinea"/>
        <w:numPr>
          <w:ilvl w:val="0"/>
          <w:numId w:val="3"/>
        </w:numPr>
        <w:ind w:left="567" w:hanging="218"/>
        <w:rPr>
          <w:sz w:val="24"/>
          <w:szCs w:val="24"/>
        </w:rPr>
      </w:pPr>
      <w:r w:rsidRPr="00B329B1">
        <w:rPr>
          <w:sz w:val="24"/>
          <w:szCs w:val="24"/>
        </w:rPr>
        <w:t>Dominic Seldis (virtuoos op contrabas)</w:t>
      </w:r>
    </w:p>
    <w:p w14:paraId="575D600A" w14:textId="77777777" w:rsidR="00B329B1" w:rsidRPr="00B329B1" w:rsidRDefault="00B329B1" w:rsidP="00B329B1">
      <w:pPr>
        <w:pStyle w:val="Lijstalinea"/>
        <w:numPr>
          <w:ilvl w:val="0"/>
          <w:numId w:val="3"/>
        </w:numPr>
        <w:ind w:left="567" w:hanging="218"/>
        <w:rPr>
          <w:sz w:val="24"/>
          <w:szCs w:val="24"/>
        </w:rPr>
      </w:pPr>
      <w:r w:rsidRPr="00B329B1">
        <w:rPr>
          <w:sz w:val="24"/>
          <w:szCs w:val="24"/>
        </w:rPr>
        <w:t>Tim Kliphuis – Paulus Schäfer (Gipsy jazz)</w:t>
      </w:r>
    </w:p>
    <w:p w14:paraId="343A326E" w14:textId="77777777" w:rsidR="00B329B1" w:rsidRPr="00B329B1" w:rsidRDefault="00B329B1" w:rsidP="00B329B1">
      <w:pPr>
        <w:pStyle w:val="Lijstalinea"/>
        <w:numPr>
          <w:ilvl w:val="0"/>
          <w:numId w:val="3"/>
        </w:numPr>
        <w:ind w:left="567" w:hanging="218"/>
        <w:rPr>
          <w:sz w:val="24"/>
          <w:szCs w:val="24"/>
        </w:rPr>
      </w:pPr>
      <w:r w:rsidRPr="00B329B1">
        <w:rPr>
          <w:sz w:val="24"/>
          <w:szCs w:val="24"/>
        </w:rPr>
        <w:t>Britta Maria, Maurits Fondse, Oleg Fateev (Ode aan Charles Aznavour)</w:t>
      </w:r>
    </w:p>
    <w:p w14:paraId="37AD74C9" w14:textId="77777777" w:rsidR="00B329B1" w:rsidRPr="00B329B1" w:rsidRDefault="00B329B1" w:rsidP="00B329B1">
      <w:pPr>
        <w:pStyle w:val="Lijstalinea"/>
        <w:numPr>
          <w:ilvl w:val="0"/>
          <w:numId w:val="3"/>
        </w:numPr>
        <w:ind w:left="567" w:hanging="218"/>
        <w:rPr>
          <w:sz w:val="24"/>
          <w:szCs w:val="24"/>
        </w:rPr>
      </w:pPr>
      <w:r w:rsidRPr="00B329B1">
        <w:rPr>
          <w:sz w:val="24"/>
          <w:szCs w:val="24"/>
        </w:rPr>
        <w:t>Pianoduo Beth &amp; Flo (Vier handen op één piano)</w:t>
      </w:r>
    </w:p>
    <w:p w14:paraId="14662029" w14:textId="77777777" w:rsidR="00B329B1" w:rsidRPr="00130ACD" w:rsidRDefault="00B329B1" w:rsidP="00B329B1">
      <w:pPr>
        <w:pStyle w:val="Lijstalinea"/>
        <w:numPr>
          <w:ilvl w:val="0"/>
          <w:numId w:val="3"/>
        </w:numPr>
        <w:ind w:left="567" w:hanging="218"/>
        <w:rPr>
          <w:rFonts w:asciiTheme="majorHAnsi" w:hAnsiTheme="majorHAnsi" w:cstheme="majorHAnsi"/>
          <w:sz w:val="24"/>
          <w:szCs w:val="24"/>
        </w:rPr>
      </w:pPr>
      <w:r w:rsidRPr="00B329B1">
        <w:rPr>
          <w:sz w:val="24"/>
          <w:szCs w:val="24"/>
        </w:rPr>
        <w:t>Vrouwenkoor</w:t>
      </w:r>
      <w:r w:rsidRPr="00130ACD">
        <w:rPr>
          <w:rFonts w:asciiTheme="majorHAnsi" w:hAnsiTheme="majorHAnsi" w:cstheme="majorHAnsi"/>
          <w:sz w:val="24"/>
          <w:szCs w:val="24"/>
        </w:rPr>
        <w:t xml:space="preserve"> Vigorosa</w:t>
      </w:r>
      <w:r>
        <w:rPr>
          <w:rFonts w:asciiTheme="majorHAnsi" w:hAnsiTheme="majorHAnsi" w:cstheme="majorHAnsi"/>
          <w:sz w:val="24"/>
          <w:szCs w:val="24"/>
        </w:rPr>
        <w:t xml:space="preserve"> (</w:t>
      </w:r>
      <w:r w:rsidRPr="00130ACD">
        <w:rPr>
          <w:rFonts w:asciiTheme="majorHAnsi" w:hAnsiTheme="majorHAnsi" w:cstheme="majorHAnsi"/>
          <w:sz w:val="24"/>
          <w:szCs w:val="24"/>
        </w:rPr>
        <w:t>Wereldmuziek</w:t>
      </w:r>
      <w:r>
        <w:rPr>
          <w:rFonts w:asciiTheme="majorHAnsi" w:hAnsiTheme="majorHAnsi" w:cstheme="majorHAnsi"/>
          <w:sz w:val="24"/>
          <w:szCs w:val="24"/>
        </w:rPr>
        <w:t>)</w:t>
      </w:r>
    </w:p>
    <w:p w14:paraId="2AB96687" w14:textId="40AC8CA6" w:rsidR="003141EB" w:rsidRDefault="003141EB" w:rsidP="003141EB">
      <w:pPr>
        <w:spacing w:line="24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</w:p>
    <w:p w14:paraId="7C48FF4C" w14:textId="77777777" w:rsidR="00E929F1" w:rsidRDefault="00E929F1" w:rsidP="00BF25DA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</w:p>
    <w:p w14:paraId="10779483" w14:textId="689ACDA3" w:rsidR="00BF25DA" w:rsidRPr="00941762" w:rsidRDefault="00BF25DA" w:rsidP="00941762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nl-NL"/>
        </w:rPr>
      </w:pPr>
      <w:r w:rsidRPr="00941762">
        <w:rPr>
          <w:rFonts w:asciiTheme="minorHAnsi" w:eastAsia="Times New Roman" w:hAnsiTheme="minorHAnsi" w:cstheme="minorHAnsi"/>
          <w:b/>
          <w:bCs/>
          <w:sz w:val="24"/>
          <w:szCs w:val="24"/>
          <w:lang w:eastAsia="nl-NL"/>
        </w:rPr>
        <w:t>FINANCIËLE VERANTWOORDING</w:t>
      </w:r>
      <w:r w:rsidR="005D2F9A">
        <w:rPr>
          <w:rFonts w:asciiTheme="minorHAnsi" w:eastAsia="Times New Roman" w:hAnsiTheme="minorHAnsi" w:cstheme="minorHAnsi"/>
          <w:b/>
          <w:bCs/>
          <w:sz w:val="24"/>
          <w:szCs w:val="24"/>
          <w:lang w:eastAsia="nl-NL"/>
        </w:rPr>
        <w:t xml:space="preserve"> juli 2022 t/m juni 2023</w:t>
      </w:r>
    </w:p>
    <w:p w14:paraId="5689214F" w14:textId="77777777" w:rsidR="00B25314" w:rsidRPr="00976E01" w:rsidRDefault="00B25314" w:rsidP="00BF25DA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</w:p>
    <w:p w14:paraId="65CFA49F" w14:textId="65A33AB3" w:rsidR="00B904B6" w:rsidRDefault="00CD0AEE" w:rsidP="00941762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76E01">
        <w:rPr>
          <w:rFonts w:asciiTheme="minorHAnsi" w:hAnsiTheme="minorHAnsi" w:cstheme="minorHAnsi"/>
          <w:b/>
          <w:sz w:val="24"/>
          <w:szCs w:val="24"/>
        </w:rPr>
        <w:t xml:space="preserve">Balans </w:t>
      </w:r>
      <w:r w:rsidR="00F50334" w:rsidRPr="00976E01">
        <w:rPr>
          <w:rFonts w:asciiTheme="minorHAnsi" w:hAnsiTheme="minorHAnsi" w:cstheme="minorHAnsi"/>
          <w:b/>
          <w:sz w:val="24"/>
          <w:szCs w:val="24"/>
        </w:rPr>
        <w:t>30-06-20</w:t>
      </w:r>
      <w:r w:rsidR="00543BB5">
        <w:rPr>
          <w:rFonts w:asciiTheme="minorHAnsi" w:hAnsiTheme="minorHAnsi" w:cstheme="minorHAnsi"/>
          <w:b/>
          <w:sz w:val="24"/>
          <w:szCs w:val="24"/>
        </w:rPr>
        <w:t>2</w:t>
      </w:r>
      <w:r w:rsidR="00592914">
        <w:rPr>
          <w:rFonts w:asciiTheme="minorHAnsi" w:hAnsiTheme="minorHAnsi" w:cstheme="minorHAnsi"/>
          <w:b/>
          <w:sz w:val="24"/>
          <w:szCs w:val="24"/>
        </w:rPr>
        <w:t>3</w:t>
      </w:r>
    </w:p>
    <w:p w14:paraId="1683AD32" w14:textId="77777777" w:rsidR="00AF258F" w:rsidRDefault="00AF258F" w:rsidP="00B904B6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840"/>
        <w:gridCol w:w="1691"/>
      </w:tblGrid>
      <w:tr w:rsidR="00543BB5" w14:paraId="0908C16E" w14:textId="77777777" w:rsidTr="00543BB5"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8EE3FC" w14:textId="032D06AB" w:rsidR="00543BB5" w:rsidRDefault="00543BB5" w:rsidP="00B904B6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3BB5">
              <w:rPr>
                <w:i/>
                <w:iCs/>
                <w:color w:val="000000"/>
              </w:rPr>
              <w:t>Debet:</w:t>
            </w:r>
            <w:r>
              <w:rPr>
                <w:color w:val="000000"/>
              </w:rPr>
              <w:t xml:space="preserve"> Podiuminventaris, vleugel, liquide middelen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1CCD3F79" w14:textId="5DD8D965" w:rsidR="00543BB5" w:rsidRDefault="00543BB5" w:rsidP="00AF258F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color w:val="000000"/>
              </w:rPr>
              <w:t>€ 3</w:t>
            </w:r>
            <w:r w:rsidR="000962D2">
              <w:rPr>
                <w:color w:val="000000"/>
              </w:rPr>
              <w:t>7.</w:t>
            </w:r>
            <w:r w:rsidR="00592914">
              <w:rPr>
                <w:color w:val="000000"/>
              </w:rPr>
              <w:t>85</w:t>
            </w:r>
            <w:r w:rsidR="000962D2">
              <w:rPr>
                <w:color w:val="000000"/>
              </w:rPr>
              <w:t>3</w:t>
            </w:r>
            <w:r>
              <w:rPr>
                <w:color w:val="000000"/>
              </w:rPr>
              <w:t>,00</w:t>
            </w:r>
          </w:p>
        </w:tc>
      </w:tr>
      <w:tr w:rsidR="00543BB5" w14:paraId="6123E1CB" w14:textId="77777777" w:rsidTr="00543BB5"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6B39B8" w14:textId="4596D4D7" w:rsidR="00543BB5" w:rsidRPr="00543BB5" w:rsidRDefault="00543BB5" w:rsidP="00B904B6">
            <w:pPr>
              <w:spacing w:line="240" w:lineRule="auto"/>
              <w:contextualSpacing/>
              <w:rPr>
                <w:i/>
                <w:iCs/>
                <w:color w:val="000000"/>
              </w:rPr>
            </w:pPr>
            <w:r w:rsidRPr="00543BB5">
              <w:rPr>
                <w:i/>
                <w:iCs/>
                <w:color w:val="000000"/>
              </w:rPr>
              <w:t>Credit:</w:t>
            </w:r>
            <w:r>
              <w:rPr>
                <w:color w:val="000000"/>
              </w:rPr>
              <w:t xml:space="preserve"> Vervangingsreserves, risicoafdekking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29920057" w14:textId="158008BC" w:rsidR="00543BB5" w:rsidRDefault="00543BB5" w:rsidP="00AF258F">
            <w:pPr>
              <w:spacing w:line="240" w:lineRule="auto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€ 3</w:t>
            </w:r>
            <w:r w:rsidR="000962D2">
              <w:rPr>
                <w:color w:val="000000"/>
              </w:rPr>
              <w:t>7.</w:t>
            </w:r>
            <w:r w:rsidR="00592914">
              <w:rPr>
                <w:color w:val="000000"/>
              </w:rPr>
              <w:t>85</w:t>
            </w:r>
            <w:r w:rsidR="000962D2">
              <w:rPr>
                <w:color w:val="000000"/>
              </w:rPr>
              <w:t>3</w:t>
            </w:r>
            <w:r>
              <w:rPr>
                <w:color w:val="000000"/>
              </w:rPr>
              <w:t>,00</w:t>
            </w:r>
          </w:p>
        </w:tc>
      </w:tr>
      <w:tr w:rsidR="00543BB5" w14:paraId="2FB7B631" w14:textId="77777777" w:rsidTr="00543BB5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D966EF6" w14:textId="77777777" w:rsidR="00543BB5" w:rsidRDefault="00543BB5" w:rsidP="00B904B6">
            <w:pPr>
              <w:spacing w:line="240" w:lineRule="auto"/>
              <w:contextualSpacing/>
              <w:rPr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2F2B88A4" w14:textId="77777777" w:rsidR="00543BB5" w:rsidRDefault="00543BB5" w:rsidP="00B904B6">
            <w:pPr>
              <w:spacing w:line="240" w:lineRule="auto"/>
              <w:contextualSpacing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3425DB0A" w14:textId="77777777" w:rsidR="00543BB5" w:rsidRDefault="00543BB5" w:rsidP="00B904B6">
            <w:pPr>
              <w:spacing w:line="240" w:lineRule="auto"/>
              <w:contextualSpacing/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130486E5" w14:textId="7B3AE5FF" w:rsidR="00543BB5" w:rsidRDefault="00543BB5" w:rsidP="00AF258F">
            <w:pPr>
              <w:spacing w:line="240" w:lineRule="auto"/>
              <w:contextualSpacing/>
              <w:jc w:val="right"/>
              <w:rPr>
                <w:color w:val="000000"/>
              </w:rPr>
            </w:pPr>
          </w:p>
        </w:tc>
      </w:tr>
      <w:tr w:rsidR="00543BB5" w14:paraId="5CCD5F78" w14:textId="77777777" w:rsidTr="00543BB5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57962F5" w14:textId="63FCFA10" w:rsidR="00543BB5" w:rsidRDefault="00543BB5" w:rsidP="00B904B6">
            <w:pPr>
              <w:spacing w:line="240" w:lineRule="auto"/>
              <w:contextualSpacing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Inkomsten: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4CD64FB5" w14:textId="77777777" w:rsidR="00543BB5" w:rsidRDefault="00543BB5" w:rsidP="00B904B6">
            <w:pPr>
              <w:spacing w:line="240" w:lineRule="auto"/>
              <w:contextualSpacing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54BCB296" w14:textId="2726F285" w:rsidR="00543BB5" w:rsidRDefault="00543BB5" w:rsidP="00B904B6">
            <w:pPr>
              <w:spacing w:line="240" w:lineRule="auto"/>
              <w:contextualSpacing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Uitgaven: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661C0A8B" w14:textId="77777777" w:rsidR="00543BB5" w:rsidRDefault="00543BB5" w:rsidP="00AF258F">
            <w:pPr>
              <w:spacing w:line="240" w:lineRule="auto"/>
              <w:contextualSpacing/>
              <w:jc w:val="right"/>
              <w:rPr>
                <w:color w:val="000000"/>
              </w:rPr>
            </w:pPr>
          </w:p>
        </w:tc>
      </w:tr>
      <w:tr w:rsidR="00AF258F" w14:paraId="659CEB0C" w14:textId="77777777" w:rsidTr="00556BB8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7EFCE" w14:textId="2C745533" w:rsidR="00AF258F" w:rsidRDefault="00AF258F" w:rsidP="00AF258F">
            <w:pPr>
              <w:spacing w:line="240" w:lineRule="auto"/>
              <w:contextualSpacing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Kaartverkoop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7AE11" w14:textId="0888597C" w:rsidR="00AF258F" w:rsidRDefault="00AF258F" w:rsidP="00AF258F">
            <w:pPr>
              <w:spacing w:line="240" w:lineRule="auto"/>
              <w:ind w:right="172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 €</w:t>
            </w:r>
            <w:r w:rsidR="002430D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592914">
              <w:rPr>
                <w:color w:val="000000"/>
              </w:rPr>
              <w:t>11.560,00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DA22A" w14:textId="6818FDE1" w:rsidR="00AF258F" w:rsidRDefault="00AF258F" w:rsidP="00AF258F">
            <w:pPr>
              <w:spacing w:line="240" w:lineRule="auto"/>
              <w:contextualSpacing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Publicatie en PR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2CC86" w14:textId="36DFC705" w:rsidR="00AF258F" w:rsidRDefault="00AF258F" w:rsidP="00AF258F">
            <w:pPr>
              <w:spacing w:line="240" w:lineRule="auto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 €      </w:t>
            </w:r>
            <w:r w:rsidR="00592914">
              <w:rPr>
                <w:color w:val="000000"/>
              </w:rPr>
              <w:t>832</w:t>
            </w:r>
            <w:r>
              <w:rPr>
                <w:color w:val="000000"/>
              </w:rPr>
              <w:t xml:space="preserve">,00 </w:t>
            </w:r>
          </w:p>
        </w:tc>
      </w:tr>
      <w:tr w:rsidR="00AF258F" w14:paraId="0B161997" w14:textId="77777777" w:rsidTr="00556BB8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64639" w14:textId="05F54E36" w:rsidR="00AF258F" w:rsidRDefault="00AF258F" w:rsidP="00AF258F">
            <w:pPr>
              <w:spacing w:line="240" w:lineRule="auto"/>
              <w:contextualSpacing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Donaties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0DED6" w14:textId="726D7F3D" w:rsidR="00AF258F" w:rsidRDefault="00AF258F" w:rsidP="00AF258F">
            <w:pPr>
              <w:spacing w:line="240" w:lineRule="auto"/>
              <w:ind w:right="172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 € </w:t>
            </w:r>
            <w:r w:rsidR="002430D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 </w:t>
            </w:r>
            <w:r w:rsidR="00592914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   </w:t>
            </w:r>
            <w:r w:rsidR="000962D2">
              <w:rPr>
                <w:color w:val="000000"/>
              </w:rPr>
              <w:t>2</w:t>
            </w:r>
            <w:r w:rsidR="00592914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,00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8152" w14:textId="21D09747" w:rsidR="00AF258F" w:rsidRDefault="00AF258F" w:rsidP="00AF258F">
            <w:pPr>
              <w:spacing w:line="240" w:lineRule="auto"/>
              <w:contextualSpacing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Organisatiekosten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B0EDD" w14:textId="39468ED9" w:rsidR="00AF258F" w:rsidRDefault="00AF258F" w:rsidP="00AF258F">
            <w:pPr>
              <w:spacing w:line="240" w:lineRule="auto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 €   </w:t>
            </w:r>
            <w:r w:rsidR="00592914">
              <w:rPr>
                <w:color w:val="000000"/>
              </w:rPr>
              <w:t>4.566</w:t>
            </w:r>
            <w:r>
              <w:rPr>
                <w:color w:val="000000"/>
              </w:rPr>
              <w:t xml:space="preserve">,00 </w:t>
            </w:r>
          </w:p>
        </w:tc>
      </w:tr>
      <w:tr w:rsidR="00AF258F" w14:paraId="72036F09" w14:textId="77777777" w:rsidTr="00556BB8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48550" w14:textId="2EC62870" w:rsidR="00AF258F" w:rsidRDefault="00AF258F" w:rsidP="00AF258F">
            <w:pPr>
              <w:spacing w:line="240" w:lineRule="auto"/>
              <w:contextualSpacing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Sponsors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B4101" w14:textId="0F9971B4" w:rsidR="00AF258F" w:rsidRDefault="00AF258F" w:rsidP="00AF258F">
            <w:pPr>
              <w:spacing w:line="240" w:lineRule="auto"/>
              <w:ind w:right="172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 €</w:t>
            </w:r>
            <w:r w:rsidR="00592914">
              <w:rPr>
                <w:color w:val="000000"/>
              </w:rPr>
              <w:t xml:space="preserve">   </w:t>
            </w:r>
            <w:r w:rsidR="002430D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0962D2">
              <w:rPr>
                <w:color w:val="000000"/>
              </w:rPr>
              <w:t>2.1</w:t>
            </w:r>
            <w:r w:rsidR="00592914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,00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98F45" w14:textId="5A483FE8" w:rsidR="00AF258F" w:rsidRDefault="00AF258F" w:rsidP="00AF258F">
            <w:pPr>
              <w:spacing w:line="240" w:lineRule="auto"/>
              <w:contextualSpacing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Artiesten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9FD9E" w14:textId="62E2EE60" w:rsidR="00AF258F" w:rsidRDefault="00AF258F" w:rsidP="00AF258F">
            <w:pPr>
              <w:spacing w:line="240" w:lineRule="auto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 €   </w:t>
            </w:r>
            <w:r w:rsidR="00592914">
              <w:rPr>
                <w:color w:val="000000"/>
              </w:rPr>
              <w:t>9.325</w:t>
            </w:r>
            <w:r>
              <w:rPr>
                <w:color w:val="000000"/>
              </w:rPr>
              <w:t xml:space="preserve">,00 </w:t>
            </w:r>
          </w:p>
        </w:tc>
      </w:tr>
      <w:tr w:rsidR="00AF258F" w14:paraId="62FE7283" w14:textId="77777777" w:rsidTr="00AF258F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7DB1F" w14:textId="030A1AB8" w:rsidR="00AF258F" w:rsidRDefault="00AF258F" w:rsidP="00AF258F">
            <w:pPr>
              <w:spacing w:line="240" w:lineRule="auto"/>
              <w:contextualSpacing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Subsidie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E0E40" w14:textId="6D8EC05C" w:rsidR="00AF258F" w:rsidRDefault="00AF258F" w:rsidP="00AF258F">
            <w:pPr>
              <w:spacing w:line="240" w:lineRule="auto"/>
              <w:ind w:right="172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 €</w:t>
            </w:r>
            <w:r w:rsidR="002430D2">
              <w:rPr>
                <w:color w:val="000000"/>
              </w:rPr>
              <w:t xml:space="preserve"> </w:t>
            </w:r>
            <w:r w:rsidR="00592914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1.</w:t>
            </w:r>
            <w:r w:rsidR="00592914">
              <w:rPr>
                <w:color w:val="000000"/>
              </w:rPr>
              <w:t>189</w:t>
            </w:r>
            <w:r>
              <w:rPr>
                <w:color w:val="000000"/>
              </w:rPr>
              <w:t xml:space="preserve">,00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58CDD" w14:textId="20C87B34" w:rsidR="00AF258F" w:rsidRDefault="00AF258F" w:rsidP="00AF258F">
            <w:pPr>
              <w:spacing w:line="240" w:lineRule="auto"/>
              <w:contextualSpacing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Afschrijving en onderhoud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9A511" w14:textId="1B17769B" w:rsidR="00AF258F" w:rsidRDefault="00AF258F" w:rsidP="00AF258F">
            <w:pPr>
              <w:spacing w:line="240" w:lineRule="auto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 €  </w:t>
            </w:r>
            <w:r w:rsidR="005929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   </w:t>
            </w:r>
            <w:r w:rsidR="00592914">
              <w:rPr>
                <w:color w:val="000000"/>
              </w:rPr>
              <w:t>560</w:t>
            </w:r>
            <w:r>
              <w:rPr>
                <w:color w:val="000000"/>
              </w:rPr>
              <w:t xml:space="preserve">,00 </w:t>
            </w:r>
          </w:p>
        </w:tc>
      </w:tr>
      <w:tr w:rsidR="00AF258F" w14:paraId="11084F47" w14:textId="77777777" w:rsidTr="00AF258F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A4F3C" w14:textId="4B615432" w:rsidR="00AF258F" w:rsidRDefault="00592914" w:rsidP="00AF258F">
            <w:pPr>
              <w:spacing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Rente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EE8D08" w14:textId="0737829B" w:rsidR="00AF258F" w:rsidRDefault="00AF258F" w:rsidP="00AF258F">
            <w:pPr>
              <w:spacing w:line="240" w:lineRule="auto"/>
              <w:ind w:right="172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 €</w:t>
            </w:r>
            <w:r w:rsidR="002430D2"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</w:t>
            </w:r>
            <w:r w:rsidR="00592914">
              <w:rPr>
                <w:color w:val="000000"/>
              </w:rPr>
              <w:t>68,00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55CC0" w14:textId="462B3E26" w:rsidR="00AF258F" w:rsidRDefault="00AF258F" w:rsidP="00AF258F">
            <w:pPr>
              <w:spacing w:line="240" w:lineRule="auto"/>
              <w:contextualSpacing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Diversen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E3FA5B" w14:textId="6E2DE628" w:rsidR="00AF258F" w:rsidRDefault="00AF258F" w:rsidP="00AF258F">
            <w:pPr>
              <w:spacing w:line="240" w:lineRule="auto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 €</w:t>
            </w:r>
            <w:r w:rsidR="00592914"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t xml:space="preserve">       </w:t>
            </w:r>
            <w:r w:rsidR="0059291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</w:p>
        </w:tc>
      </w:tr>
      <w:tr w:rsidR="00AF258F" w14:paraId="6884AFB0" w14:textId="77777777" w:rsidTr="00AF258F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5321F" w14:textId="77777777" w:rsidR="00AF258F" w:rsidRDefault="00AF258F" w:rsidP="00AF258F">
            <w:pPr>
              <w:spacing w:line="240" w:lineRule="auto"/>
              <w:contextualSpacing/>
              <w:rPr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408810" w14:textId="77777777" w:rsidR="00AF258F" w:rsidRDefault="00AF258F" w:rsidP="00AF258F">
            <w:pPr>
              <w:spacing w:line="240" w:lineRule="auto"/>
              <w:contextualSpacing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51B07526" w14:textId="77777777" w:rsidR="00AF258F" w:rsidRDefault="00AF258F" w:rsidP="00AF258F">
            <w:pPr>
              <w:spacing w:line="240" w:lineRule="auto"/>
              <w:contextualSpacing/>
              <w:rPr>
                <w:i/>
                <w:iCs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B1A81" w14:textId="77777777" w:rsidR="00AF258F" w:rsidRDefault="00AF258F" w:rsidP="00AF258F">
            <w:pPr>
              <w:spacing w:line="240" w:lineRule="auto"/>
              <w:contextualSpacing/>
              <w:rPr>
                <w:color w:val="000000"/>
              </w:rPr>
            </w:pPr>
          </w:p>
        </w:tc>
      </w:tr>
      <w:tr w:rsidR="00AF258F" w14:paraId="419B1439" w14:textId="77777777" w:rsidTr="00EF4B69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480F2" w14:textId="519C27B1" w:rsidR="00AF258F" w:rsidRDefault="00AF258F" w:rsidP="00AF258F">
            <w:pPr>
              <w:spacing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TOTAAL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37EA8" w14:textId="62C23DB0" w:rsidR="00AF258F" w:rsidRDefault="00AF258F" w:rsidP="00AF258F">
            <w:pPr>
              <w:spacing w:line="240" w:lineRule="auto"/>
              <w:ind w:right="172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€ </w:t>
            </w:r>
            <w:r w:rsidR="00592914">
              <w:rPr>
                <w:color w:val="000000"/>
              </w:rPr>
              <w:t>15.193</w:t>
            </w:r>
            <w:r>
              <w:rPr>
                <w:color w:val="000000"/>
              </w:rPr>
              <w:t>,00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69DEDC74" w14:textId="77777777" w:rsidR="00AF258F" w:rsidRDefault="00AF258F" w:rsidP="00AF258F">
            <w:pPr>
              <w:spacing w:line="240" w:lineRule="auto"/>
              <w:contextualSpacing/>
              <w:rPr>
                <w:i/>
                <w:iCs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25BC3DC9" w14:textId="644D4F09" w:rsidR="00AF258F" w:rsidRDefault="00AF258F" w:rsidP="00AF258F">
            <w:pPr>
              <w:spacing w:line="240" w:lineRule="auto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€   </w:t>
            </w:r>
            <w:r w:rsidR="00592914">
              <w:rPr>
                <w:color w:val="000000"/>
              </w:rPr>
              <w:t>15.283</w:t>
            </w:r>
            <w:r>
              <w:rPr>
                <w:color w:val="000000"/>
              </w:rPr>
              <w:t>,00</w:t>
            </w:r>
          </w:p>
        </w:tc>
      </w:tr>
      <w:tr w:rsidR="00AF258F" w14:paraId="60F2BBA5" w14:textId="77777777" w:rsidTr="00EF4B69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E85FC" w14:textId="77777777" w:rsidR="00AF258F" w:rsidRDefault="00AF258F" w:rsidP="00AF258F">
            <w:pPr>
              <w:spacing w:line="240" w:lineRule="auto"/>
              <w:contextualSpacing/>
              <w:rPr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711E7" w14:textId="77777777" w:rsidR="00AF258F" w:rsidRDefault="00AF258F" w:rsidP="00AF258F">
            <w:pPr>
              <w:spacing w:line="240" w:lineRule="auto"/>
              <w:ind w:right="172"/>
              <w:contextualSpacing/>
              <w:jc w:val="right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23C6A057" w14:textId="00D2CC61" w:rsidR="00AF258F" w:rsidRDefault="00287E8F" w:rsidP="00AF258F">
            <w:pPr>
              <w:spacing w:line="240" w:lineRule="auto"/>
              <w:contextualSpacing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Negatief </w:t>
            </w:r>
            <w:r w:rsidR="00AF258F">
              <w:rPr>
                <w:i/>
                <w:iCs/>
                <w:color w:val="000000"/>
              </w:rPr>
              <w:t>resultaat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1601DFC8" w14:textId="303FCD87" w:rsidR="00AF258F" w:rsidRDefault="00AF258F" w:rsidP="00AF258F">
            <w:pPr>
              <w:spacing w:line="240" w:lineRule="auto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€      </w:t>
            </w:r>
            <w:r w:rsidR="002430D2">
              <w:rPr>
                <w:color w:val="000000"/>
              </w:rPr>
              <w:t>-</w:t>
            </w:r>
            <w:r w:rsidR="00592914">
              <w:rPr>
                <w:color w:val="000000"/>
              </w:rPr>
              <w:t>90</w:t>
            </w:r>
            <w:r>
              <w:rPr>
                <w:color w:val="000000"/>
              </w:rPr>
              <w:t>,00</w:t>
            </w:r>
          </w:p>
        </w:tc>
      </w:tr>
    </w:tbl>
    <w:p w14:paraId="46BB4ED0" w14:textId="77777777" w:rsidR="00B72471" w:rsidRDefault="00B72471" w:rsidP="00AF258F">
      <w:pPr>
        <w:spacing w:line="240" w:lineRule="auto"/>
        <w:contextualSpacing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19AD5474" w14:textId="7E6296DC" w:rsidR="00543BB5" w:rsidRPr="00AF258F" w:rsidRDefault="00592914" w:rsidP="00AF258F">
      <w:pPr>
        <w:spacing w:line="240" w:lineRule="auto"/>
        <w:contextualSpacing/>
        <w:jc w:val="right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07 01 2024</w:t>
      </w:r>
    </w:p>
    <w:sectPr w:rsidR="00543BB5" w:rsidRPr="00AF258F" w:rsidSect="00352B4A">
      <w:pgSz w:w="11906" w:h="16838"/>
      <w:pgMar w:top="1418" w:right="1417" w:bottom="851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5E999" w14:textId="77777777" w:rsidR="00352B4A" w:rsidRDefault="00352B4A" w:rsidP="00BF25DA">
      <w:pPr>
        <w:spacing w:line="240" w:lineRule="auto"/>
      </w:pPr>
      <w:r>
        <w:separator/>
      </w:r>
    </w:p>
  </w:endnote>
  <w:endnote w:type="continuationSeparator" w:id="0">
    <w:p w14:paraId="01B41A99" w14:textId="77777777" w:rsidR="00352B4A" w:rsidRDefault="00352B4A" w:rsidP="00BF2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D564" w14:textId="77777777" w:rsidR="00BF25DA" w:rsidRDefault="00BF25DA" w:rsidP="00BF25DA">
    <w:pPr>
      <w:pStyle w:val="Voettekst"/>
      <w:jc w:val="center"/>
    </w:pPr>
    <w:r>
      <w:rPr>
        <w:rFonts w:ascii="Comic Sans MS" w:hAnsi="Comic Sans MS"/>
        <w:sz w:val="16"/>
      </w:rPr>
      <w:t xml:space="preserve">Bankrekeningnummer: </w:t>
    </w:r>
    <w:r w:rsidR="00D42580">
      <w:rPr>
        <w:rFonts w:ascii="Comic Sans MS" w:hAnsi="Comic Sans MS"/>
        <w:sz w:val="16"/>
      </w:rPr>
      <w:t>IBAN NL33 RABO 0</w:t>
    </w:r>
    <w:r>
      <w:rPr>
        <w:rFonts w:ascii="Comic Sans MS" w:hAnsi="Comic Sans MS"/>
        <w:sz w:val="16"/>
      </w:rPr>
      <w:t>344</w:t>
    </w:r>
    <w:r w:rsidR="00D42580">
      <w:rPr>
        <w:rFonts w:ascii="Comic Sans MS" w:hAnsi="Comic Sans MS"/>
        <w:sz w:val="16"/>
      </w:rPr>
      <w:t xml:space="preserve"> </w:t>
    </w:r>
    <w:r>
      <w:rPr>
        <w:rFonts w:ascii="Comic Sans MS" w:hAnsi="Comic Sans MS"/>
        <w:sz w:val="16"/>
      </w:rPr>
      <w:t>9085</w:t>
    </w:r>
    <w:r w:rsidR="00D42580">
      <w:rPr>
        <w:rFonts w:ascii="Comic Sans MS" w:hAnsi="Comic Sans MS"/>
        <w:sz w:val="16"/>
      </w:rPr>
      <w:t xml:space="preserve"> </w:t>
    </w:r>
    <w:r>
      <w:rPr>
        <w:rFonts w:ascii="Comic Sans MS" w:hAnsi="Comic Sans MS"/>
        <w:sz w:val="16"/>
      </w:rPr>
      <w:t>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6414" w14:textId="77777777" w:rsidR="00352B4A" w:rsidRDefault="00352B4A" w:rsidP="00BF25DA">
      <w:pPr>
        <w:spacing w:line="240" w:lineRule="auto"/>
      </w:pPr>
      <w:r>
        <w:separator/>
      </w:r>
    </w:p>
  </w:footnote>
  <w:footnote w:type="continuationSeparator" w:id="0">
    <w:p w14:paraId="74CD8EDA" w14:textId="77777777" w:rsidR="00352B4A" w:rsidRDefault="00352B4A" w:rsidP="00BF25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F0C"/>
    <w:multiLevelType w:val="hybridMultilevel"/>
    <w:tmpl w:val="36A82592"/>
    <w:lvl w:ilvl="0" w:tplc="B14AE5A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977D7"/>
    <w:multiLevelType w:val="hybridMultilevel"/>
    <w:tmpl w:val="0F08E970"/>
    <w:lvl w:ilvl="0" w:tplc="3BAECE04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B2517EC"/>
    <w:multiLevelType w:val="hybridMultilevel"/>
    <w:tmpl w:val="C6DEDA8C"/>
    <w:lvl w:ilvl="0" w:tplc="9FBEC0A4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167129">
    <w:abstractNumId w:val="1"/>
  </w:num>
  <w:num w:numId="2" w16cid:durableId="1185707401">
    <w:abstractNumId w:val="2"/>
  </w:num>
  <w:num w:numId="3" w16cid:durableId="1039087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64"/>
    <w:rsid w:val="00014E48"/>
    <w:rsid w:val="00023223"/>
    <w:rsid w:val="00030A1C"/>
    <w:rsid w:val="00055485"/>
    <w:rsid w:val="000962D2"/>
    <w:rsid w:val="000A25DC"/>
    <w:rsid w:val="000B57A0"/>
    <w:rsid w:val="00102B22"/>
    <w:rsid w:val="00123F62"/>
    <w:rsid w:val="00131C2A"/>
    <w:rsid w:val="00134918"/>
    <w:rsid w:val="00135447"/>
    <w:rsid w:val="001612E6"/>
    <w:rsid w:val="001C50F3"/>
    <w:rsid w:val="001E1CF9"/>
    <w:rsid w:val="00202FD6"/>
    <w:rsid w:val="00204900"/>
    <w:rsid w:val="002114B4"/>
    <w:rsid w:val="0022430C"/>
    <w:rsid w:val="002430D2"/>
    <w:rsid w:val="002561D4"/>
    <w:rsid w:val="002616FA"/>
    <w:rsid w:val="00287E8F"/>
    <w:rsid w:val="002A4049"/>
    <w:rsid w:val="002D012D"/>
    <w:rsid w:val="002D3145"/>
    <w:rsid w:val="002E7961"/>
    <w:rsid w:val="002F2C75"/>
    <w:rsid w:val="003141EB"/>
    <w:rsid w:val="0032555B"/>
    <w:rsid w:val="00327FE6"/>
    <w:rsid w:val="00352B4A"/>
    <w:rsid w:val="00387327"/>
    <w:rsid w:val="003A4165"/>
    <w:rsid w:val="003A4C17"/>
    <w:rsid w:val="003B0C87"/>
    <w:rsid w:val="003B56FD"/>
    <w:rsid w:val="003D0109"/>
    <w:rsid w:val="003E5603"/>
    <w:rsid w:val="003F7BBE"/>
    <w:rsid w:val="00402F41"/>
    <w:rsid w:val="00421E06"/>
    <w:rsid w:val="00447C3A"/>
    <w:rsid w:val="00484DA4"/>
    <w:rsid w:val="00496830"/>
    <w:rsid w:val="004B4141"/>
    <w:rsid w:val="004C39CE"/>
    <w:rsid w:val="004E4C5F"/>
    <w:rsid w:val="00506823"/>
    <w:rsid w:val="00543BB5"/>
    <w:rsid w:val="00587C33"/>
    <w:rsid w:val="00592914"/>
    <w:rsid w:val="005D2F9A"/>
    <w:rsid w:val="005E5AC3"/>
    <w:rsid w:val="00625E24"/>
    <w:rsid w:val="006273DF"/>
    <w:rsid w:val="00672ECE"/>
    <w:rsid w:val="00686195"/>
    <w:rsid w:val="006F0637"/>
    <w:rsid w:val="0070620F"/>
    <w:rsid w:val="00707391"/>
    <w:rsid w:val="00722C2B"/>
    <w:rsid w:val="007925BB"/>
    <w:rsid w:val="007952CB"/>
    <w:rsid w:val="007A1D0C"/>
    <w:rsid w:val="007A63BF"/>
    <w:rsid w:val="007C769F"/>
    <w:rsid w:val="007E0ED3"/>
    <w:rsid w:val="007E79E1"/>
    <w:rsid w:val="007F344F"/>
    <w:rsid w:val="00803FF3"/>
    <w:rsid w:val="00825462"/>
    <w:rsid w:val="0088044B"/>
    <w:rsid w:val="008900AB"/>
    <w:rsid w:val="008B3DCE"/>
    <w:rsid w:val="008D67FC"/>
    <w:rsid w:val="00930181"/>
    <w:rsid w:val="009302B4"/>
    <w:rsid w:val="00934579"/>
    <w:rsid w:val="00941762"/>
    <w:rsid w:val="00943687"/>
    <w:rsid w:val="00950A96"/>
    <w:rsid w:val="00976E01"/>
    <w:rsid w:val="00983F06"/>
    <w:rsid w:val="00993FB0"/>
    <w:rsid w:val="009D73F0"/>
    <w:rsid w:val="00A27C09"/>
    <w:rsid w:val="00AA1693"/>
    <w:rsid w:val="00AE7813"/>
    <w:rsid w:val="00AF258F"/>
    <w:rsid w:val="00AF705D"/>
    <w:rsid w:val="00B07C01"/>
    <w:rsid w:val="00B07C0E"/>
    <w:rsid w:val="00B25314"/>
    <w:rsid w:val="00B27AF6"/>
    <w:rsid w:val="00B329B1"/>
    <w:rsid w:val="00B40475"/>
    <w:rsid w:val="00B60F94"/>
    <w:rsid w:val="00B72471"/>
    <w:rsid w:val="00B87E80"/>
    <w:rsid w:val="00B904B6"/>
    <w:rsid w:val="00B91B34"/>
    <w:rsid w:val="00BB34C3"/>
    <w:rsid w:val="00BC5964"/>
    <w:rsid w:val="00BF25DA"/>
    <w:rsid w:val="00BF4A82"/>
    <w:rsid w:val="00C245D1"/>
    <w:rsid w:val="00C31C5E"/>
    <w:rsid w:val="00C92115"/>
    <w:rsid w:val="00CA6320"/>
    <w:rsid w:val="00CC0B3C"/>
    <w:rsid w:val="00CD0AEE"/>
    <w:rsid w:val="00CD3C53"/>
    <w:rsid w:val="00CE0917"/>
    <w:rsid w:val="00CE7B10"/>
    <w:rsid w:val="00CF41C3"/>
    <w:rsid w:val="00CF6316"/>
    <w:rsid w:val="00D060FD"/>
    <w:rsid w:val="00D30036"/>
    <w:rsid w:val="00D300ED"/>
    <w:rsid w:val="00D42580"/>
    <w:rsid w:val="00D87C5D"/>
    <w:rsid w:val="00DE0299"/>
    <w:rsid w:val="00DE5553"/>
    <w:rsid w:val="00E05B6E"/>
    <w:rsid w:val="00E11780"/>
    <w:rsid w:val="00E12E27"/>
    <w:rsid w:val="00E160FC"/>
    <w:rsid w:val="00E20DA4"/>
    <w:rsid w:val="00E214AF"/>
    <w:rsid w:val="00E64D5E"/>
    <w:rsid w:val="00E659A1"/>
    <w:rsid w:val="00E929F1"/>
    <w:rsid w:val="00EC24D1"/>
    <w:rsid w:val="00EC5833"/>
    <w:rsid w:val="00EC5AAA"/>
    <w:rsid w:val="00ED5FBB"/>
    <w:rsid w:val="00EE4420"/>
    <w:rsid w:val="00EF75C7"/>
    <w:rsid w:val="00F37F45"/>
    <w:rsid w:val="00F47E65"/>
    <w:rsid w:val="00F50334"/>
    <w:rsid w:val="00F56A78"/>
    <w:rsid w:val="00F93EB6"/>
    <w:rsid w:val="00FA45E2"/>
    <w:rsid w:val="00FC1929"/>
    <w:rsid w:val="00FF1866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A7C88"/>
  <w15:docId w15:val="{5C412A3E-299A-4E07-9F4E-4804A644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F25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BF25DA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BF25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F25DA"/>
    <w:rPr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B904B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273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73DF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Standaardalinea-lettertype"/>
    <w:uiPriority w:val="99"/>
    <w:unhideWhenUsed/>
    <w:rsid w:val="003141E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141E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141EB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314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ulturelestichtingniedorp.n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culturelestichtingniedorp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893B-5D85-43B4-B44B-9F97D9A7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903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Links>
    <vt:vector size="6" baseType="variant">
      <vt:variant>
        <vt:i4>7536710</vt:i4>
      </vt:variant>
      <vt:variant>
        <vt:i4>0</vt:i4>
      </vt:variant>
      <vt:variant>
        <vt:i4>0</vt:i4>
      </vt:variant>
      <vt:variant>
        <vt:i4>5</vt:i4>
      </vt:variant>
      <vt:variant>
        <vt:lpwstr>mailto:info@culturelestichtingniedorp.nl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Marijke</dc:creator>
  <cp:lastModifiedBy>Marijke van der Holst</cp:lastModifiedBy>
  <cp:revision>6</cp:revision>
  <cp:lastPrinted>2024-01-24T18:04:00Z</cp:lastPrinted>
  <dcterms:created xsi:type="dcterms:W3CDTF">2024-01-24T18:07:00Z</dcterms:created>
  <dcterms:modified xsi:type="dcterms:W3CDTF">2024-01-29T09:38:00Z</dcterms:modified>
</cp:coreProperties>
</file>